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4A" w:rsidRDefault="008609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88D9" wp14:editId="4F47A4E1">
                <wp:simplePos x="0" y="0"/>
                <wp:positionH relativeFrom="column">
                  <wp:posOffset>267419</wp:posOffset>
                </wp:positionH>
                <wp:positionV relativeFrom="paragraph">
                  <wp:posOffset>-267419</wp:posOffset>
                </wp:positionV>
                <wp:extent cx="6392173" cy="724619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173" cy="724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94A" w:rsidRPr="003B7B3D" w:rsidRDefault="0086094A" w:rsidP="003B7B3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3B7B3D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Рассмотрение уголовного дела с участием присяжных заседателей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0D88D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.05pt;margin-top:-21.05pt;width:503.3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" filled="f" stroked="f">
                <v:textbox>
                  <w:txbxContent>
                    <w:p w:rsidR="0086094A" w:rsidRPr="003B7B3D" w:rsidRDefault="0086094A" w:rsidP="003B7B3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B3D"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Рассмотрение уголовного дела с участием присяжных заседателей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="-431" w:tblpY="394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5736"/>
      </w:tblGrid>
      <w:tr w:rsidR="0086094A" w:rsidTr="007D46D5">
        <w:trPr>
          <w:trHeight w:val="1973"/>
        </w:trPr>
        <w:tc>
          <w:tcPr>
            <w:tcW w:w="5599" w:type="dxa"/>
          </w:tcPr>
          <w:p w:rsidR="0086094A" w:rsidRPr="003B7B3D" w:rsidRDefault="0086094A" w:rsidP="003B7B3D">
            <w:pPr>
              <w:spacing w:line="240" w:lineRule="exact"/>
              <w:jc w:val="both"/>
              <w:rPr>
                <w:rFonts w:cstheme="minorHAnsi"/>
                <w:i/>
                <w:sz w:val="23"/>
                <w:szCs w:val="23"/>
              </w:rPr>
            </w:pPr>
            <w:r w:rsidRPr="003B7B3D">
              <w:rPr>
                <w:rFonts w:cstheme="minorHAnsi"/>
                <w:i/>
                <w:color w:val="333333"/>
                <w:sz w:val="23"/>
                <w:szCs w:val="23"/>
                <w:shd w:val="clear" w:color="auto" w:fill="FFFFFF"/>
              </w:rPr>
              <w:t>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 Ограничение данного права устанавливается только федеральным законом.</w:t>
            </w:r>
          </w:p>
        </w:tc>
        <w:tc>
          <w:tcPr>
            <w:tcW w:w="5736" w:type="dxa"/>
          </w:tcPr>
          <w:p w:rsidR="0086094A" w:rsidRDefault="0086094A" w:rsidP="007D46D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F24B0D9" wp14:editId="3DA171AA">
                  <wp:extent cx="2921531" cy="12767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syaj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271" cy="1295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94A" w:rsidTr="007D46D5">
        <w:trPr>
          <w:trHeight w:val="3177"/>
        </w:trPr>
        <w:tc>
          <w:tcPr>
            <w:tcW w:w="11335" w:type="dxa"/>
            <w:gridSpan w:val="2"/>
          </w:tcPr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Присяжными заседателями и кандидатами в присяжные заседатели не могут быть лица: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1) не достигшие к моменту составления списков кандидатов в присяжные заседатели возраста 25 лет;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2) имеющие непогашенную или неснятую судимость;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3) признанные судом недееспособными или ограниченные судом в дееспособности;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4) 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К участию в рассмотрении судом конкретного уголовного дела в порядке, установленном Уголовно-процессуальным кодексом Российской Федерации, в качестве присяжных заседателей не допускаются также лица: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1) подозреваемые или обвиняемые в совершении преступлений;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2) не владеющие языком, на котором ведется судопроизводство;</w:t>
            </w:r>
          </w:p>
          <w:p w:rsidR="0086094A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3) имеющие физические или психические недостатки, препятствующие полноценному участию в рассмотрении судом уголовного дела.</w:t>
            </w:r>
          </w:p>
        </w:tc>
      </w:tr>
    </w:tbl>
    <w:p w:rsidR="0086094A" w:rsidRDefault="0086094A"/>
    <w:p w:rsidR="0086094A" w:rsidRDefault="0086094A"/>
    <w:tbl>
      <w:tblPr>
        <w:tblStyle w:val="a3"/>
        <w:tblpPr w:leftFromText="180" w:rightFromText="180" w:vertAnchor="text" w:horzAnchor="margin" w:tblpX="-431" w:tblpY="12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7598"/>
      </w:tblGrid>
      <w:tr w:rsidR="0086094A" w:rsidTr="007D46D5">
        <w:trPr>
          <w:trHeight w:val="948"/>
        </w:trPr>
        <w:tc>
          <w:tcPr>
            <w:tcW w:w="3737" w:type="dxa"/>
          </w:tcPr>
          <w:p w:rsidR="0086094A" w:rsidRDefault="0086094A" w:rsidP="007D46D5">
            <w:r>
              <w:rPr>
                <w:noProof/>
                <w:lang w:eastAsia="ru-RU"/>
              </w:rPr>
              <w:drawing>
                <wp:inline distT="0" distB="0" distL="0" distR="0" wp14:anchorId="45B2979D" wp14:editId="6F6F3E0B">
                  <wp:extent cx="1958197" cy="1632504"/>
                  <wp:effectExtent l="0" t="0" r="444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250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842" cy="165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</w:tcPr>
          <w:p w:rsidR="0086094A" w:rsidRPr="003B7B3D" w:rsidRDefault="0086094A" w:rsidP="003B7B3D">
            <w:pPr>
              <w:spacing w:line="240" w:lineRule="exact"/>
              <w:ind w:firstLine="709"/>
              <w:jc w:val="both"/>
              <w:rPr>
                <w:rFonts w:cstheme="minorHAnsi"/>
                <w:color w:val="333333"/>
                <w:sz w:val="23"/>
                <w:szCs w:val="23"/>
                <w:shd w:val="clear" w:color="auto" w:fill="FFFFFF"/>
              </w:rPr>
            </w:pPr>
            <w:r w:rsidRPr="003B7B3D">
              <w:rPr>
                <w:rFonts w:cstheme="minorHAnsi"/>
                <w:color w:val="333333"/>
                <w:sz w:val="23"/>
                <w:szCs w:val="23"/>
                <w:shd w:val="clear" w:color="auto" w:fill="FFFFFF"/>
              </w:rPr>
              <w:t>Исполнительно-распорядительный орган муниципального образования каждые четыре года составляет список и запасной список кандидатов в присяжные заседатели муниципального образования, включая в указанные списки граждан, постоянно проживающих на территории соответствующего муниципального образования.</w:t>
            </w:r>
          </w:p>
          <w:p w:rsidR="0086094A" w:rsidRDefault="0086094A" w:rsidP="003B7B3D">
            <w:pPr>
              <w:spacing w:line="240" w:lineRule="exact"/>
              <w:ind w:firstLine="709"/>
              <w:jc w:val="both"/>
            </w:pPr>
            <w:r w:rsidRPr="003B7B3D">
              <w:rPr>
                <w:rFonts w:cstheme="minorHAnsi"/>
                <w:color w:val="333333"/>
                <w:sz w:val="23"/>
                <w:szCs w:val="23"/>
                <w:shd w:val="clear" w:color="auto" w:fill="FFFFFF"/>
              </w:rPr>
      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</w:t>
            </w:r>
            <w:r w:rsidRPr="00C522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tbl>
      <w:tblPr>
        <w:tblStyle w:val="a3"/>
        <w:tblW w:w="1135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3"/>
        <w:gridCol w:w="2241"/>
      </w:tblGrid>
      <w:tr w:rsidR="0086094A" w:rsidTr="007D46D5">
        <w:trPr>
          <w:trHeight w:val="5159"/>
        </w:trPr>
        <w:tc>
          <w:tcPr>
            <w:tcW w:w="9113" w:type="dxa"/>
          </w:tcPr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lastRenderedPageBreak/>
              <w:t>Главный вопрос, на который присяжные должны дать ответ в совещательной комнате, - это вопрос о виновности лица, находящегося на скамье подсудимых.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Присяжные заседатели </w:t>
            </w:r>
            <w:r w:rsidRPr="003B7B3D">
              <w:rPr>
                <w:rFonts w:asciiTheme="minorHAnsi" w:hAnsiTheme="minorHAnsi" w:cstheme="minorHAnsi"/>
                <w:i/>
                <w:color w:val="333333"/>
                <w:sz w:val="23"/>
                <w:szCs w:val="23"/>
              </w:rPr>
              <w:t>вправе:</w:t>
            </w: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 -участвовать в исследовании всех обстоятельств уголовного дела; задавать через председательствующего вопросы допрашиваемым лицам; участвовать в осмотре вещественных доказательств, документов и производстве иных следственных действий; просить председательствующего разъяснить нормы закона, относящиеся к уголовному делу, содержание оглашенных в суде документов и другие неясные для них вопросы и понятия; вести собственные записи и пользоваться ими при подготовке в совещательной комнате ответов на поставленные перед присяжными заседателями вопросы.</w:t>
            </w:r>
          </w:p>
          <w:p w:rsidR="0086094A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Присяжные заседатели </w:t>
            </w:r>
            <w:r w:rsidRPr="003B7B3D">
              <w:rPr>
                <w:rFonts w:asciiTheme="minorHAnsi" w:hAnsiTheme="minorHAnsi" w:cstheme="minorHAnsi"/>
                <w:i/>
                <w:color w:val="333333"/>
                <w:sz w:val="23"/>
                <w:szCs w:val="23"/>
              </w:rPr>
              <w:t>обязаны:</w:t>
            </w: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 присутствовать при рассмотрении уголовного дела и не отлучаться из зала судебного заседания; до удаления в совещательную комнату для вынесения вердикта не выражать свое мнение по уголовному делу и не обсуждать его с другими присяжными заседателями, судом, сторонами, иными лицами (в том числе присяжные заседатели не могут выступать в СМИ); не общаться с лицами, которые не входят в состав суда, по поводу обстоятельств рассматриваемого уголовного дела; не собирать сведения по уголовному делу вне судебного заседания; не нарушать тайну совещания и голосования присяжных заседателей по поставленным перед ними вопросам; отвечать на вопросы, поставленные перед ними в вопросном листе; проголосовать по всем вопросам, поставленным перед присяжными судом;  не разглашать государственную и иную охраняемую законом тайну, ставшую им известной в ходе рассмотрения дела, если взята соответствующая подписка.</w:t>
            </w:r>
          </w:p>
        </w:tc>
        <w:tc>
          <w:tcPr>
            <w:tcW w:w="2241" w:type="dxa"/>
          </w:tcPr>
          <w:p w:rsidR="0086094A" w:rsidRDefault="0086094A">
            <w:r>
              <w:t xml:space="preserve"> </w:t>
            </w:r>
          </w:p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>
            <w:r>
              <w:rPr>
                <w:noProof/>
                <w:lang w:eastAsia="ru-RU"/>
              </w:rPr>
              <w:drawing>
                <wp:inline distT="0" distB="0" distL="0" distR="0" wp14:anchorId="56E03263" wp14:editId="71F9F66C">
                  <wp:extent cx="1198880" cy="802005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025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35400" cy="8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4A" w:rsidRDefault="0086094A"/>
          <w:p w:rsidR="0086094A" w:rsidRDefault="0086094A"/>
          <w:p w:rsidR="0086094A" w:rsidRDefault="0086094A"/>
          <w:p w:rsidR="0086094A" w:rsidRPr="007D46D5" w:rsidRDefault="0086094A">
            <w:pPr>
              <w:rPr>
                <w:rFonts w:ascii="Times New Roman" w:hAnsi="Times New Roman" w:cs="Times New Roman"/>
                <w:b/>
              </w:rPr>
            </w:pPr>
            <w:r w:rsidRPr="007D46D5">
              <w:rPr>
                <w:rFonts w:ascii="Times New Roman" w:hAnsi="Times New Roman" w:cs="Times New Roman"/>
                <w:b/>
              </w:rPr>
              <w:t>Прокуратура Иркутского района</w:t>
            </w:r>
          </w:p>
        </w:tc>
      </w:tr>
    </w:tbl>
    <w:p w:rsidR="003D35FD" w:rsidRDefault="003D35FD" w:rsidP="00860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Default="003D35FD" w:rsidP="003D3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Default="003D35FD" w:rsidP="003D3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Default="003D35FD" w:rsidP="003D3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Pr="003D35FD" w:rsidRDefault="003D35FD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35FD" w:rsidRPr="003D35FD" w:rsidRDefault="003D35FD" w:rsidP="00B35C00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sectPr w:rsidR="003D35FD" w:rsidRPr="003D35FD" w:rsidSect="00860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73"/>
    <w:rsid w:val="0014762D"/>
    <w:rsid w:val="00207B4C"/>
    <w:rsid w:val="00392E64"/>
    <w:rsid w:val="003D35FD"/>
    <w:rsid w:val="00463857"/>
    <w:rsid w:val="0086094A"/>
    <w:rsid w:val="008F378E"/>
    <w:rsid w:val="00A24D73"/>
    <w:rsid w:val="00A407C3"/>
    <w:rsid w:val="00B35C00"/>
    <w:rsid w:val="00C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5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86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5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86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cp:lastPrinted>2021-10-29T07:12:00Z</cp:lastPrinted>
  <dcterms:created xsi:type="dcterms:W3CDTF">2024-04-25T16:19:00Z</dcterms:created>
  <dcterms:modified xsi:type="dcterms:W3CDTF">2024-04-25T16:19:00Z</dcterms:modified>
</cp:coreProperties>
</file>