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РОССИЙСКАЯ ФЕДЕРАЦИЯ</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ИРКУТСКАЯ ОБЛАСТЬ</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ИРКУТСКИЙ РАЙОН</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АДМИНИСТРАЦИЯ ОЕКСКОГО МУНИЦИПАЛЬНОГО ОБРАЗОВАНИЯ</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 </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ПОСТАНОВЛЕНИЕ</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 </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от «27»октября» 2016г.                                                                                                                            №  185-п</w:t>
      </w:r>
    </w:p>
    <w:p w:rsidR="009B436A" w:rsidRPr="009B436A" w:rsidRDefault="009B436A" w:rsidP="009B436A">
      <w:pPr>
        <w:spacing w:line="240" w:lineRule="auto"/>
        <w:ind w:firstLine="0"/>
        <w:jc w:val="left"/>
        <w:rPr>
          <w:rFonts w:eastAsia="Times New Roman" w:cs="Times New Roman"/>
          <w:sz w:val="24"/>
          <w:szCs w:val="24"/>
          <w:lang w:eastAsia="ru-RU"/>
        </w:rPr>
      </w:pPr>
      <w:r w:rsidRPr="009B436A">
        <w:rPr>
          <w:rFonts w:ascii="Tahoma" w:eastAsia="Times New Roman" w:hAnsi="Tahoma" w:cs="Tahoma"/>
          <w:color w:val="2C2C2C"/>
          <w:sz w:val="20"/>
          <w:szCs w:val="20"/>
          <w:lang w:eastAsia="ru-RU"/>
        </w:rPr>
        <w:br/>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О внесении изменений в постановление администрации Оекского муниципального образования от 07.06.2013 года № 139-п «Об утверждении Плана мероприятий («Дорожной карты»), направленных на повышение  эффективности сферы культуры в Оекском  муниципальном образовании» </w:t>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t> </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  В целях реализации Указа Президента Российской Федерации от 07.05. 2012 года № 597 «О мероприятиях по реализации государственной социальной политики», распоряжения Правительства Иркутской области от 28.02.2013 года № 58-рп «План мероприятий («дорожная карта»), направленных на повышение эффективности сферы культуры в Иркутской области», руководствуясь письмом министерства культуры и архивов Иркутской области от 31.08.2016 года № 56/06-3981/16 «О внесении изменений в План мероприятий («дорожную карту»), ст. 59, ст. 61 Устава Оекского муниципального образования, администрация Оекского муниципального образования</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ПОСТАНОВЛЯЕТ:</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 Внести в План мероприятий («Дорожная карта»), направленных на повышение эффективности сферы культуры в Оекском муниципальном образовании следующие изменения:</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Приложение № 1 к Плану мероприятий («Дорожной карте»), направленных на повышение эффективности сферы культуры в Оекском муниципальном образовании, изложить в новой редакции согласно приложению к настоящему постановлению.</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 Признать утратившим силу постановление администрации Оекского муниципального образования от 23.04.2015 года № 84-п «О внесении изменений в постановление администрации Оекского муниципального образования от 07.06.2013 года № 139-п «Об утверждении Плана мероприятий («Дорожной карты»), направленных на повышение эффективности сферы культуры в Оекском муниципальном образовании».</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 Общему отделу администрации Оекского муниципального образования внести в оригинал постановления администрации Оекского муниципального образования от 07.06.2013 года № 139-п информацию о внесении изменений, в оригинал постановления администрации Оекского муниципального образования от 23.04.2015 года № 84-п информацию об отмене.</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 Опубликовать настоящее постановление на официальном сайте </w:t>
      </w:r>
      <w:hyperlink r:id="rId5" w:history="1">
        <w:r w:rsidRPr="009B436A">
          <w:rPr>
            <w:rFonts w:ascii="Tahoma" w:eastAsia="Times New Roman" w:hAnsi="Tahoma" w:cs="Tahoma"/>
            <w:color w:val="44A1C7"/>
            <w:sz w:val="20"/>
            <w:szCs w:val="20"/>
            <w:u w:val="single"/>
            <w:lang w:eastAsia="ru-RU"/>
          </w:rPr>
          <w:t>www.oek.su</w:t>
        </w:r>
      </w:hyperlink>
      <w:r w:rsidRPr="009B436A">
        <w:rPr>
          <w:rFonts w:ascii="Tahoma" w:eastAsia="Times New Roman" w:hAnsi="Tahoma" w:cs="Tahoma"/>
          <w:color w:val="2C2C2C"/>
          <w:sz w:val="20"/>
          <w:szCs w:val="20"/>
          <w:lang w:eastAsia="ru-RU"/>
        </w:rPr>
        <w:t>.</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 Контроль за исполнением настоящего постановления возложить на заместителя главы администрации Оекского муниципального образования Н.П. Пихето-Новосельцеву.</w:t>
      </w:r>
    </w:p>
    <w:p w:rsidR="009B436A" w:rsidRPr="009B436A" w:rsidRDefault="009B436A" w:rsidP="009B436A">
      <w:pPr>
        <w:shd w:val="clear" w:color="auto" w:fill="FFFFFF"/>
        <w:spacing w:after="96" w:line="240" w:lineRule="auto"/>
        <w:ind w:firstLine="0"/>
        <w:rPr>
          <w:rFonts w:ascii="Tahoma" w:eastAsia="Times New Roman" w:hAnsi="Tahoma" w:cs="Tahoma"/>
          <w:color w:val="2C2C2C"/>
          <w:sz w:val="20"/>
          <w:szCs w:val="20"/>
          <w:lang w:eastAsia="ru-RU"/>
        </w:rPr>
      </w:pP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Приложение № 1  к Плану мероприятий</w:t>
      </w: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(«Дорожной карте»), направленных на</w:t>
      </w: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повышение эффективности сферы культуры</w:t>
      </w:r>
    </w:p>
    <w:p w:rsidR="009B436A" w:rsidRPr="009B436A" w:rsidRDefault="009B436A" w:rsidP="009B436A">
      <w:pPr>
        <w:shd w:val="clear" w:color="auto" w:fill="FFFFFF"/>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в Оекском муниципальном образовании</w:t>
      </w:r>
    </w:p>
    <w:p w:rsidR="009B436A" w:rsidRPr="009B436A" w:rsidRDefault="009B436A" w:rsidP="009B436A">
      <w:pPr>
        <w:spacing w:line="240" w:lineRule="auto"/>
        <w:ind w:firstLine="0"/>
        <w:jc w:val="left"/>
        <w:rPr>
          <w:rFonts w:eastAsia="Times New Roman" w:cs="Times New Roman"/>
          <w:sz w:val="24"/>
          <w:szCs w:val="24"/>
          <w:lang w:eastAsia="ru-RU"/>
        </w:rPr>
      </w:pPr>
      <w:r w:rsidRPr="009B436A">
        <w:rPr>
          <w:rFonts w:ascii="Tahoma" w:eastAsia="Times New Roman" w:hAnsi="Tahoma" w:cs="Tahoma"/>
          <w:color w:val="2C2C2C"/>
          <w:sz w:val="20"/>
          <w:szCs w:val="20"/>
          <w:lang w:eastAsia="ru-RU"/>
        </w:rPr>
        <w:br/>
      </w:r>
    </w:p>
    <w:p w:rsidR="009B436A" w:rsidRPr="009B436A" w:rsidRDefault="009B436A" w:rsidP="009B436A">
      <w:pPr>
        <w:shd w:val="clear" w:color="auto" w:fill="FFFFFF"/>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b/>
          <w:bCs/>
          <w:color w:val="2C2C2C"/>
          <w:sz w:val="20"/>
          <w:szCs w:val="20"/>
          <w:lang w:eastAsia="ru-RU"/>
        </w:rPr>
        <w:lastRenderedPageBreak/>
        <w:t>Финансово-экономическое обоснование дополнительной потребности бюджетных средств, необходимых для достижения показателя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и средней заработной платы в субъектах Российской Федерации</w:t>
      </w:r>
    </w:p>
    <w:p w:rsidR="009B436A" w:rsidRPr="009B436A" w:rsidRDefault="009B436A" w:rsidP="009B436A">
      <w:pPr>
        <w:spacing w:line="240" w:lineRule="auto"/>
        <w:ind w:firstLine="0"/>
        <w:jc w:val="left"/>
        <w:rPr>
          <w:rFonts w:eastAsia="Times New Roman" w:cs="Times New Roman"/>
          <w:sz w:val="24"/>
          <w:szCs w:val="24"/>
          <w:lang w:eastAsia="ru-RU"/>
        </w:rPr>
      </w:pPr>
    </w:p>
    <w:tbl>
      <w:tblPr>
        <w:tblW w:w="93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9"/>
        <w:gridCol w:w="1955"/>
        <w:gridCol w:w="797"/>
        <w:gridCol w:w="797"/>
        <w:gridCol w:w="797"/>
        <w:gridCol w:w="797"/>
        <w:gridCol w:w="797"/>
        <w:gridCol w:w="820"/>
        <w:gridCol w:w="797"/>
        <w:gridCol w:w="746"/>
        <w:gridCol w:w="746"/>
      </w:tblGrid>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Наименование показателей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2012 г.</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2013 г.</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2014 г.</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2015 г.</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2016 г.</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2017 г.</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2018 г.</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2014г.- 2016г.</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2014г.- 2018г.</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Средняя заработная плата по субъекту Российской Федерации (прогноз субъекта Российской Федерации), руб.</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bookmarkStart w:id="0" w:name="RANGE!C3"/>
            <w:r w:rsidRPr="009B436A">
              <w:rPr>
                <w:rFonts w:ascii="Tahoma" w:eastAsia="Times New Roman" w:hAnsi="Tahoma" w:cs="Tahoma"/>
                <w:color w:val="44A1C7"/>
                <w:sz w:val="20"/>
                <w:szCs w:val="20"/>
                <w:lang w:eastAsia="ru-RU"/>
              </w:rPr>
              <w:t>25365</w:t>
            </w:r>
            <w:bookmarkEnd w:id="0"/>
            <w:r w:rsidRPr="009B436A">
              <w:rPr>
                <w:rFonts w:ascii="Tahoma" w:eastAsia="Times New Roman" w:hAnsi="Tahoma" w:cs="Tahoma"/>
                <w:color w:val="2C2C2C"/>
                <w:sz w:val="20"/>
                <w:szCs w:val="20"/>
                <w:lang w:eastAsia="ru-RU"/>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29229,0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31371,0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28648,0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29901,3</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31402,9</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33184,6</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Темп роста к предыдущему году, %</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115,2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107,3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91,3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104,4</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105,7</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Среднесписочная численность работников, человек</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28,0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25,7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26,0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26,1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21,0</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21,0</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Среднемесячная заработная плата работников, рублей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12093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15296,9</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20340,5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21280,7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22338,7</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29555,7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31232,6</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Темп роста к предыдущему году, %</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126,5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133,0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104,8</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104,8</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132,3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105,7</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6</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Размер начислений на фонд оплаты труда, %</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1,302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7</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Фонд оплаты труда с начислениями, тыс. рублей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5290,3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6142,3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8262,8</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8678,0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7329,4</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9697,3</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10247,5</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24270,2</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44215,0</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Прирост фонда оплаты труда с начислениями к 2013 году, тыс. рублей (фонд оплаты труда стр. 7 по графе соответствующего года - стр. 7 за 2013 год)</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2120,5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2535,7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1187,1</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3555,0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4105,2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5843,3</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13503,5</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в том числе:</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line="240" w:lineRule="auto"/>
              <w:ind w:firstLine="0"/>
              <w:rPr>
                <w:rFonts w:ascii="Tahoma" w:eastAsia="Times New Roman" w:hAnsi="Tahoma" w:cs="Tahoma"/>
                <w:color w:val="2C2C2C"/>
                <w:sz w:val="20"/>
                <w:szCs w:val="20"/>
                <w:lang w:eastAsia="ru-RU"/>
              </w:rPr>
            </w:pP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9</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за счет средств консолидированного бюджета субъекта Российской Федерации, тыс. рублей, в том числе:</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2120,5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2535,7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478,7</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806,2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806,2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5134,9</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6747,3</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 xml:space="preserve">включая средства, полученные за счет </w:t>
            </w:r>
            <w:r w:rsidRPr="009B436A">
              <w:rPr>
                <w:rFonts w:ascii="Tahoma" w:eastAsia="Times New Roman" w:hAnsi="Tahoma" w:cs="Tahoma"/>
                <w:color w:val="2C2C2C"/>
                <w:sz w:val="20"/>
                <w:szCs w:val="20"/>
                <w:lang w:eastAsia="ru-RU"/>
              </w:rPr>
              <w:lastRenderedPageBreak/>
              <w:t>проведения мероприятий по оптимизации, тыс. рублей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lastRenderedPageBreak/>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1056" w:type="dxa"/>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сеть оптимальна</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lastRenderedPageBreak/>
              <w:t>11</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за счет средств от приносящей доход деятельности, тыс. рублей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12</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за счет иных источников (решений), включая корректировку консолидированного бюджета субъекта Российской Федерации на соответствующий год, тыс. рублей</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708,4</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2748,8</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3299,0</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708,4</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6756,2</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Итого объем средств, предусмотренный на повышение оплаты труда, тыс. рублей (стр. 9+10+11+12)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2120,5</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2535,7</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1187,1</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3555,0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4105,2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5843,3</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center"/>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13503,5</w:t>
            </w:r>
          </w:p>
        </w:tc>
      </w:tr>
      <w:tr w:rsidR="009B436A" w:rsidRPr="009B436A" w:rsidTr="009B436A">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14</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Соотношение объема средств от оптимизации к сумме объема средств, предусмотренного на повышение оплаты труда, % (стр. 10/стр. 14*100 %)</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х</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98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c>
          <w:tcPr>
            <w:tcW w:w="45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9B436A" w:rsidRPr="009B436A" w:rsidRDefault="009B436A" w:rsidP="009B436A">
            <w:pPr>
              <w:spacing w:after="96" w:line="240" w:lineRule="auto"/>
              <w:ind w:firstLine="0"/>
              <w:jc w:val="right"/>
              <w:rPr>
                <w:rFonts w:ascii="Tahoma" w:eastAsia="Times New Roman" w:hAnsi="Tahoma" w:cs="Tahoma"/>
                <w:color w:val="2C2C2C"/>
                <w:sz w:val="20"/>
                <w:szCs w:val="20"/>
                <w:lang w:eastAsia="ru-RU"/>
              </w:rPr>
            </w:pPr>
            <w:r w:rsidRPr="009B436A">
              <w:rPr>
                <w:rFonts w:ascii="Tahoma" w:eastAsia="Times New Roman" w:hAnsi="Tahoma" w:cs="Tahoma"/>
                <w:color w:val="2C2C2C"/>
                <w:sz w:val="20"/>
                <w:szCs w:val="20"/>
                <w:lang w:eastAsia="ru-RU"/>
              </w:rPr>
              <w:t>0</w:t>
            </w:r>
          </w:p>
        </w:tc>
      </w:tr>
    </w:tbl>
    <w:p w:rsidR="003E0016" w:rsidRPr="00E54BD4" w:rsidRDefault="003E0016" w:rsidP="00E54BD4">
      <w:bookmarkStart w:id="1" w:name="_GoBack"/>
      <w:bookmarkEnd w:id="1"/>
    </w:p>
    <w:sectPr w:rsidR="003E0016" w:rsidRPr="00E54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B5DD1"/>
    <w:rsid w:val="000C0C9B"/>
    <w:rsid w:val="000D5F81"/>
    <w:rsid w:val="000D6034"/>
    <w:rsid w:val="00114524"/>
    <w:rsid w:val="00152553"/>
    <w:rsid w:val="001F5F7D"/>
    <w:rsid w:val="00203405"/>
    <w:rsid w:val="00210004"/>
    <w:rsid w:val="00210D9F"/>
    <w:rsid w:val="00241A97"/>
    <w:rsid w:val="002736AE"/>
    <w:rsid w:val="002E42B6"/>
    <w:rsid w:val="002F1F00"/>
    <w:rsid w:val="003331C3"/>
    <w:rsid w:val="00335D53"/>
    <w:rsid w:val="00343089"/>
    <w:rsid w:val="00352A18"/>
    <w:rsid w:val="00355374"/>
    <w:rsid w:val="003A6015"/>
    <w:rsid w:val="003A6DF9"/>
    <w:rsid w:val="003B01E7"/>
    <w:rsid w:val="003D19D9"/>
    <w:rsid w:val="003E0016"/>
    <w:rsid w:val="004A3750"/>
    <w:rsid w:val="004D07D1"/>
    <w:rsid w:val="004E58F7"/>
    <w:rsid w:val="00525974"/>
    <w:rsid w:val="00581BEB"/>
    <w:rsid w:val="005B009E"/>
    <w:rsid w:val="005C1A4D"/>
    <w:rsid w:val="005C66E0"/>
    <w:rsid w:val="005F04BE"/>
    <w:rsid w:val="005F6298"/>
    <w:rsid w:val="00601106"/>
    <w:rsid w:val="00604F3A"/>
    <w:rsid w:val="006717C9"/>
    <w:rsid w:val="006D0FE8"/>
    <w:rsid w:val="007A72E8"/>
    <w:rsid w:val="007B457C"/>
    <w:rsid w:val="007B6F4B"/>
    <w:rsid w:val="008A140B"/>
    <w:rsid w:val="008C4CB3"/>
    <w:rsid w:val="008D451E"/>
    <w:rsid w:val="008D58DE"/>
    <w:rsid w:val="008F17D8"/>
    <w:rsid w:val="00976843"/>
    <w:rsid w:val="009930E4"/>
    <w:rsid w:val="009B436A"/>
    <w:rsid w:val="00A07C68"/>
    <w:rsid w:val="00A22AA4"/>
    <w:rsid w:val="00A723C3"/>
    <w:rsid w:val="00A76498"/>
    <w:rsid w:val="00AE7B69"/>
    <w:rsid w:val="00B071EA"/>
    <w:rsid w:val="00B238BD"/>
    <w:rsid w:val="00BB58E1"/>
    <w:rsid w:val="00BD6D16"/>
    <w:rsid w:val="00BF2E1D"/>
    <w:rsid w:val="00C06BF5"/>
    <w:rsid w:val="00C21EC7"/>
    <w:rsid w:val="00C51EDE"/>
    <w:rsid w:val="00CE06BD"/>
    <w:rsid w:val="00D33937"/>
    <w:rsid w:val="00D53F00"/>
    <w:rsid w:val="00D723BE"/>
    <w:rsid w:val="00E54BD4"/>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774</Words>
  <Characters>4418</Characters>
  <Application>Microsoft Office Word</Application>
  <DocSecurity>0</DocSecurity>
  <Lines>36</Lines>
  <Paragraphs>10</Paragraphs>
  <ScaleCrop>false</ScaleCrop>
  <Company>diakov.net</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73</cp:revision>
  <dcterms:created xsi:type="dcterms:W3CDTF">2022-10-25T01:47:00Z</dcterms:created>
  <dcterms:modified xsi:type="dcterms:W3CDTF">2022-10-25T04:14:00Z</dcterms:modified>
</cp:coreProperties>
</file>