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52D" w:rsidRPr="00A4552D" w:rsidRDefault="00A4552D" w:rsidP="00A4552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от «31» января 2020 г.                                                                                                № 18-п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ПОЛОЖЕНИЯ ОБ ОПЛАТЕ ТРУДА СТАРШЕГО ИНСПЕКТОРА ПО ПЕРВИЧНОМУ ВОИНСКОМУ УЧЕТУ (ГОСУДАРСТВЕННЫЕ ПОЛНОМОЧИЯ) АДМИНИСТРАЦИИ ОЕКСКОГО МУНИЦИПАЛЬНОГО ОБРАЗОВАНИЯ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совершенствования оплаты труда старшего инспектора по первичному воинскому учету (государственные полномочия) администрации </w:t>
      </w:r>
      <w:proofErr w:type="spellStart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муниципального образования, руководствуясь статьями 144, 145 Трудового кодекса Российской Федерации, постановлением администрации </w:t>
      </w:r>
      <w:proofErr w:type="spellStart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муниципального образования от 27.09.2011г. №246-П  «О  порядке введения и установления систем оплаты труда работников учреждений, находящихся в ведении </w:t>
      </w:r>
      <w:proofErr w:type="spellStart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отличных от Единой тарифной сетки», статьями 59, 61 Устава </w:t>
      </w:r>
      <w:proofErr w:type="spellStart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муниципального образования, администрация </w:t>
      </w:r>
      <w:proofErr w:type="spellStart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Утвердить Положение об оплате труда старшего инспектора по первичному воинскому учету (государственные полномочия) администрации </w:t>
      </w:r>
      <w:proofErr w:type="spellStart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(Приложение № 1).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Действие настоящего постановления распространить на правоотношения, возникшие с 01.01.2020 года.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Опубликовать настоящее постановление в информационном бюллетене  «Вестник </w:t>
      </w:r>
      <w:proofErr w:type="spellStart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 www.oek.su.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 Контроль за выполнением данного распоряжения возложить на начальника финансово-экономического отдела администрации Л.Г. </w:t>
      </w:r>
      <w:proofErr w:type="spellStart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Арсёнову</w:t>
      </w:r>
      <w:proofErr w:type="spellEnd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 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A4552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 xml:space="preserve">Глава администрации </w:t>
      </w:r>
      <w:proofErr w:type="spellStart"/>
      <w:r w:rsidRPr="00A4552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A4552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1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«31» января 2020 г. № 18-п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ПОЛОЖЕНИЕ ОБ ОПЛАТЕ ТРУДА СТАРШЕГО ИНСПЕКТОРА ПО ПЕРВИЧНОМУ ВОИНСКОМУ УЧЕТУ (ГОСУДАРСТВЕННЫЕ ПОЛНОМОЧИЯ) АДМИНИСТРАЦИИ ОЕКСКОГО МУНИЦИПАЛЬНОГО ОБРАЗОВАНИЯ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I. ОБЩИЕ ПОЛОЖЕНИЯ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Настоящее Положение об оплате труда старшего инспектора по первичному воинскому учету (государственные полномочия) администрации </w:t>
      </w:r>
      <w:proofErr w:type="spellStart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(далее - Положение), разработано в соответствии: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с Трудовым кодексом Российской Федерации;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Федеральным законом от 06.10.2003 г.  № 131-ФЗ «Об общих принципах организации местного самоуправления в Российской Федерации»;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- постановлением администрации </w:t>
      </w:r>
      <w:proofErr w:type="spellStart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муниципального образования от 27.09.2011 № 246-П   «О порядке введения и установления систем оплаты труда работников учреждений, находящихся в ведении </w:t>
      </w:r>
      <w:proofErr w:type="spellStart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отличных от Единой тарифной сетки»;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 Настоящее Положение определяет систему оплаты труда и устанавливает условия оплаты труда старшего инспектора по первичному воинскому учету (государственные полномочия) администрации </w:t>
      </w:r>
      <w:proofErr w:type="spellStart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Оекского</w:t>
      </w:r>
      <w:proofErr w:type="spellEnd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(далее - старший инспектор ВУС), и включает в себя размер должностного оклада, минимальные размеры и (или) порядок определения доплат и надбавок   компенсационного характера (далее – компенсационные выплаты), систему выплат стимулирующего характера (далее – стимулирующие выплаты), включая систему премирования.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Размеры и (или) порядок определения компенсационных выплат старшему инспектору ВУС устанавливаются настоящим Положением.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4. Старшему инспектору ВУС устанавливаются стимулирующие выплаты. 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5. Условия оплаты </w:t>
      </w:r>
      <w:proofErr w:type="gramStart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труда  старшего</w:t>
      </w:r>
      <w:proofErr w:type="gramEnd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инспектора ВУС указываются в трудовом договоре. 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6. Месячная заработная плата старшего инспектора ВУС,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в соответствии с законодательством и предельными размерами не ограничивается, за исключением случаев, предусмотренных Трудовым кодексом Российской Федерации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7. Оплата труда  старшего инспектора ВУС производится в пределах бюджетных ассигнований, предусмотренных решением Думы </w:t>
      </w:r>
      <w:proofErr w:type="spellStart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муниципального образования о местном бюджете на соответствующий финансовый год.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II. ПОРЯДОК И УСЛОВИЯ ОПЛАТЫ ТРУДА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ОСНОВНЫЕ УСЛОВИЯ ОПЛАТЫ ТРУДА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 Размер должностного оклада старшего инспектора ВУС устанавливается согласно Приложению № 1 к Положению.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Заработная плата  старшего инспектора ВУС рассчитывается по формуле: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ЗП = (ДО+КВ+СВ) * </w:t>
      </w:r>
      <w:proofErr w:type="spellStart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</w:t>
      </w:r>
      <w:proofErr w:type="spellEnd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где: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ЗП – заработная плата,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ДО – должностной оклад,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КВ – компенсационные выплаты,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Кр</w:t>
      </w:r>
      <w:proofErr w:type="spellEnd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– выплаты компенсационного характера работникам, занятым в местностях с особыми климатическими условиями,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proofErr w:type="spellStart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Св</w:t>
      </w:r>
      <w:proofErr w:type="spellEnd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– стимулирующие выплаты.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КОМПЕНСАЦИОННЫЕ ВЫПЛАТЫ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 При оплате труда старшего инспектора ВУС применяются следующие виды и размеры  компенсационных выплат: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а) выплаты за работу в местностях с особыми климатическими условиями (районный коэффициент и процентная надбавка к заработной плате за работу  в Южных районах Иркутской области), в размерах установленных  законодательством Российской Федерации и Иркутской области;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б) выплаты за работу в условиях, отклоняющихся от нормальных (при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нормальных: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при совмещении профессий, расширении зон обслуживания, увеличении объема работы или исполнении обязанностей, временно отсутствующего работника без освобождения от работы, определенной трудовым договором, работнику производится доплата в размере не более 50 процентов от его должностного оклада;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сверхурочная работа, работа в выходной или нерабочий праздничный день оплачивается в соответствии со статьями 99, 152, 153 Трудового Кодекса Российской Федерации;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- каждый час работы в ночное время (с 22-х до 6 часов) оплачивается в повышенном размере (35 процентов от должностного оклада по занимаемой должности);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в) применяются иные выплаты компенсационного характера, предусмотренные   действующим законодательством. 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СТИМУЛИРУЮЩИЕ ВЫПЛАТЫ 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Старшему инспектору ВУС устанавливаются следующие виды выплат стимулирующего характера: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1.Ежемесячное денежное поощрение.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1) Ежемесячное денежное поощрение выплачивается служащим и вспомогательному персоналу в пределах двух должностных окладов.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2) Ежемесячное денежное поощрение выплачивается на основании штатного расписания, утвержденного главой администрации </w:t>
      </w:r>
      <w:proofErr w:type="spellStart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2. Ежемесячная надбавка за сложность, напряженность и высокие достижения в труде.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1) Ежемесячная надбавка старшему инспектору ВУС к должностному окладу за сложность, напряженность и высокие достижения в труде (далее - надбавка) устанавливается в размере от 50 % до 100 % должностного оклада.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2) Надбавка выплачивается за качественное, оперативное выполнение объема работ и указывается в трудовом договоре. При определении конкретного размера надбавки учитывается степень сложности, напряженности выполняемых заданий в соответствии с должностными обязанностями.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Надбавка носит срочный характер и устанавливается на кратковременный (месяц) либо длительный период.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Надбавка выплачивается пропорционально отработанному времени.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 3) Надбавка за сложность, напряженность и высокие достижения в труде выплачивается на основании штатного расписания, утвержденного главой администрации </w:t>
      </w:r>
      <w:proofErr w:type="spellStart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3. Ежемесячная надбавка к должностному окладу за выслугу лет.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1) Ежемесячная надбавка к должностному окладу за выслугу лет зависит от стажа работы и выплачивается в следующих размерах: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686"/>
      </w:tblGrid>
      <w:tr w:rsidR="00A4552D" w:rsidRPr="00A4552D" w:rsidTr="00A4552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52D" w:rsidRPr="00A4552D" w:rsidRDefault="00A4552D" w:rsidP="00A4552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552D">
              <w:rPr>
                <w:rFonts w:eastAsia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52D" w:rsidRPr="00A4552D" w:rsidRDefault="00A4552D" w:rsidP="00A4552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552D">
              <w:rPr>
                <w:rFonts w:eastAsia="Times New Roman" w:cs="Times New Roman"/>
                <w:sz w:val="24"/>
                <w:szCs w:val="24"/>
                <w:lang w:eastAsia="ru-RU"/>
              </w:rPr>
              <w:t>Размер в % к должностному окладу</w:t>
            </w:r>
          </w:p>
        </w:tc>
      </w:tr>
      <w:tr w:rsidR="00A4552D" w:rsidRPr="00A4552D" w:rsidTr="00A4552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52D" w:rsidRPr="00A4552D" w:rsidRDefault="00A4552D" w:rsidP="00A4552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552D">
              <w:rPr>
                <w:rFonts w:eastAsia="Times New Roman" w:cs="Times New Roman"/>
                <w:sz w:val="24"/>
                <w:szCs w:val="24"/>
                <w:lang w:eastAsia="ru-RU"/>
              </w:rPr>
              <w:t>от 3 до 8 лет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52D" w:rsidRPr="00A4552D" w:rsidRDefault="00A4552D" w:rsidP="00A4552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552D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4552D" w:rsidRPr="00A4552D" w:rsidTr="00A4552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52D" w:rsidRPr="00A4552D" w:rsidRDefault="00A4552D" w:rsidP="00A4552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552D">
              <w:rPr>
                <w:rFonts w:eastAsia="Times New Roman" w:cs="Times New Roman"/>
                <w:sz w:val="24"/>
                <w:szCs w:val="24"/>
                <w:lang w:eastAsia="ru-RU"/>
              </w:rPr>
              <w:t>от 8 до 13 лет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52D" w:rsidRPr="00A4552D" w:rsidRDefault="00A4552D" w:rsidP="00A4552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552D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4552D" w:rsidRPr="00A4552D" w:rsidTr="00A4552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52D" w:rsidRPr="00A4552D" w:rsidRDefault="00A4552D" w:rsidP="00A4552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552D">
              <w:rPr>
                <w:rFonts w:eastAsia="Times New Roman" w:cs="Times New Roman"/>
                <w:sz w:val="24"/>
                <w:szCs w:val="24"/>
                <w:lang w:eastAsia="ru-RU"/>
              </w:rPr>
              <w:t>свыше 13 до 18 лет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52D" w:rsidRPr="00A4552D" w:rsidRDefault="00A4552D" w:rsidP="00A4552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552D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A4552D" w:rsidRPr="00A4552D" w:rsidTr="00A4552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52D" w:rsidRPr="00A4552D" w:rsidRDefault="00A4552D" w:rsidP="00A4552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552D">
              <w:rPr>
                <w:rFonts w:eastAsia="Times New Roman" w:cs="Times New Roman"/>
                <w:sz w:val="24"/>
                <w:szCs w:val="24"/>
                <w:lang w:eastAsia="ru-RU"/>
              </w:rPr>
              <w:t>свыше 18 до 23 лет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52D" w:rsidRPr="00A4552D" w:rsidRDefault="00A4552D" w:rsidP="00A4552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552D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4552D" w:rsidRPr="00A4552D" w:rsidTr="00A4552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52D" w:rsidRPr="00A4552D" w:rsidRDefault="00A4552D" w:rsidP="00A4552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552D">
              <w:rPr>
                <w:rFonts w:eastAsia="Times New Roman" w:cs="Times New Roman"/>
                <w:sz w:val="24"/>
                <w:szCs w:val="24"/>
                <w:lang w:eastAsia="ru-RU"/>
              </w:rPr>
              <w:t>свыше 23 лет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52D" w:rsidRPr="00A4552D" w:rsidRDefault="00A4552D" w:rsidP="00A4552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552D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A4552D" w:rsidRPr="00A4552D" w:rsidRDefault="00A4552D" w:rsidP="00A4552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2) В стаж работы, дающий право на установление ежемесячной надбавки за выслугу лет, зачитываются периоды работы (службы), включенные в перечень периодов, предусмотренный для установления ежемесячной надбавки к должностному окладу за выслугу лет работникам федеральных государственных органов, замещающих должности, не являющиеся должностями федеральной государственной гражданской службы, утвержденный Приказом Министерства здравоохранения и социального развития Российской Федерации от 27 декабря 2007 года № 808. 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3) Периоды, учитываемые при исчислении стажа работы, дающего право на установление ежемесячной надбавки за выслугу лет, устанавливаются в календарном исчислении и суммируются.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4) Документы для определения стажа работы, дающего право на установление ежемесячной надбавки за выслугу лет, является трудовая книжка, военный билет, а также иные документы, подтверждающие соответствующие периоды работы (службы).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5) Стаж работы для выплаты надбавки определяется комиссией по установлению стажа, создаваемой в администрации </w:t>
      </w:r>
      <w:proofErr w:type="spellStart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6) Надбавка за выслугу лет выплачивается с момента возникновения права на назначение или изменение размера этой надбавки. Если у работника право на назначение или изменение размера надбавки наступило в период командировки, при переподготовке или повышении квалификации с отрывом от работы и в других аналогичных случаях, когда за работником сохраняется средняя заработная плата, надбавка устанавливается с момента наступления права и производится соответствующий перерасчет среднего заработка.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7) Назначение надбавки оформляется на основании протокола комиссии по установлению стажа, распоряжением главы администрации </w:t>
      </w:r>
      <w:proofErr w:type="spellStart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Премия по результатам работы.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1) Старшему инспектору ВУС ежемесячно, за фактически отработанное время, выплачивается премия в размере 25 % должностного оклада.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2) Ежемесячная премия выплачивается в полном объеме при условии соблюдения исполнительской и трудовой дисциплины.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3) Премия начисляется исходя из должностного оклада без учета доплат и надбавок, и выплачивается ежемесячно одновременно с заработной платой пропорционально отработанному времени.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4) За исполнение заданий особой важности и сложности, а также по иным основаниям, старшему инспектору ВУС может быть выплачена единовременная премия.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5) Премирование производится в пределах средств, направляемых на оплату труда.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6) Выплата премии производится на основании распоряжения главы администрации </w:t>
      </w:r>
      <w:proofErr w:type="spellStart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образования.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Начальник финансово-экономического отдела администрации </w:t>
      </w:r>
      <w:proofErr w:type="spellStart"/>
      <w:r w:rsidRPr="00A4552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A4552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МО Л.Г. </w:t>
      </w:r>
      <w:proofErr w:type="spellStart"/>
      <w:r w:rsidRPr="00A4552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Арсёнова</w:t>
      </w:r>
      <w:proofErr w:type="spellEnd"/>
      <w:r w:rsidRPr="00A4552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  <w:r w:rsidRPr="00A4552D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br/>
        <w:t> 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Приложение № 1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Положению об оплате труда старшего инспектора 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первичному воинскому учету (государственные полномочия) 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администрации </w:t>
      </w:r>
      <w:proofErr w:type="spellStart"/>
      <w:proofErr w:type="gramStart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муниципального</w:t>
      </w:r>
      <w:proofErr w:type="gramEnd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образования,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утвержденному Постановлением администрации 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от </w:t>
      </w:r>
      <w:proofErr w:type="gramStart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 31</w:t>
      </w:r>
      <w:proofErr w:type="gramEnd"/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» января 2020 г. № 18-П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РАЗМЕР ДОЛЖНОСТНОГО ОКЛАДА СТАРШЕГО ИНСПЕКТОРА ВУС  </w:t>
      </w:r>
    </w:p>
    <w:p w:rsidR="00A4552D" w:rsidRPr="00A4552D" w:rsidRDefault="00A4552D" w:rsidP="00A4552D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A4552D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3745"/>
      </w:tblGrid>
      <w:tr w:rsidR="00A4552D" w:rsidRPr="00A4552D" w:rsidTr="00A4552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52D" w:rsidRPr="00A4552D" w:rsidRDefault="00A4552D" w:rsidP="00A4552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552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должности</w:t>
            </w:r>
            <w:r w:rsidRPr="00A4552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A4552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52D" w:rsidRPr="00A4552D" w:rsidRDefault="00A4552D" w:rsidP="00A4552D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552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Размер должностного оклада, руб.</w:t>
            </w:r>
          </w:p>
        </w:tc>
      </w:tr>
      <w:tr w:rsidR="00A4552D" w:rsidRPr="00A4552D" w:rsidTr="00A4552D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552D" w:rsidRPr="00A4552D" w:rsidRDefault="00A4552D" w:rsidP="00A4552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552D">
              <w:rPr>
                <w:rFonts w:eastAsia="Times New Roman" w:cs="Times New Roman"/>
                <w:sz w:val="24"/>
                <w:szCs w:val="24"/>
                <w:lang w:eastAsia="ru-RU"/>
              </w:rPr>
              <w:t>Старший инспектор ВУС</w:t>
            </w:r>
            <w:r w:rsidRPr="00A4552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552D" w:rsidRPr="00A4552D" w:rsidRDefault="00A4552D" w:rsidP="00A4552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4552D">
              <w:rPr>
                <w:rFonts w:eastAsia="Times New Roman" w:cs="Times New Roman"/>
                <w:sz w:val="24"/>
                <w:szCs w:val="24"/>
                <w:lang w:eastAsia="ru-RU"/>
              </w:rPr>
              <w:t>3409</w:t>
            </w:r>
          </w:p>
        </w:tc>
      </w:tr>
    </w:tbl>
    <w:p w:rsidR="003E0016" w:rsidRPr="00500DF2" w:rsidRDefault="003E0016" w:rsidP="00500DF2">
      <w:bookmarkStart w:id="0" w:name="_GoBack"/>
      <w:bookmarkEnd w:id="0"/>
    </w:p>
    <w:sectPr w:rsidR="003E0016" w:rsidRPr="00500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3"/>
  </w:num>
  <w:num w:numId="5">
    <w:abstractNumId w:val="15"/>
  </w:num>
  <w:num w:numId="6">
    <w:abstractNumId w:val="2"/>
  </w:num>
  <w:num w:numId="7">
    <w:abstractNumId w:val="11"/>
  </w:num>
  <w:num w:numId="8">
    <w:abstractNumId w:val="6"/>
  </w:num>
  <w:num w:numId="9">
    <w:abstractNumId w:val="25"/>
  </w:num>
  <w:num w:numId="10">
    <w:abstractNumId w:val="24"/>
  </w:num>
  <w:num w:numId="11">
    <w:abstractNumId w:val="8"/>
  </w:num>
  <w:num w:numId="12">
    <w:abstractNumId w:val="17"/>
  </w:num>
  <w:num w:numId="13">
    <w:abstractNumId w:val="12"/>
  </w:num>
  <w:num w:numId="14">
    <w:abstractNumId w:val="7"/>
  </w:num>
  <w:num w:numId="15">
    <w:abstractNumId w:val="9"/>
  </w:num>
  <w:num w:numId="16">
    <w:abstractNumId w:val="14"/>
  </w:num>
  <w:num w:numId="17">
    <w:abstractNumId w:val="21"/>
  </w:num>
  <w:num w:numId="18">
    <w:abstractNumId w:val="20"/>
  </w:num>
  <w:num w:numId="19">
    <w:abstractNumId w:val="4"/>
  </w:num>
  <w:num w:numId="20">
    <w:abstractNumId w:val="1"/>
  </w:num>
  <w:num w:numId="21">
    <w:abstractNumId w:val="5"/>
  </w:num>
  <w:num w:numId="22">
    <w:abstractNumId w:val="16"/>
  </w:num>
  <w:num w:numId="23">
    <w:abstractNumId w:val="23"/>
  </w:num>
  <w:num w:numId="24">
    <w:abstractNumId w:val="22"/>
  </w:num>
  <w:num w:numId="25">
    <w:abstractNumId w:val="1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60D4A"/>
    <w:rsid w:val="000C191B"/>
    <w:rsid w:val="00103C40"/>
    <w:rsid w:val="00126FB0"/>
    <w:rsid w:val="00164809"/>
    <w:rsid w:val="0016537C"/>
    <w:rsid w:val="001674F1"/>
    <w:rsid w:val="00173C94"/>
    <w:rsid w:val="00195E15"/>
    <w:rsid w:val="001C77CA"/>
    <w:rsid w:val="001D6334"/>
    <w:rsid w:val="001F3840"/>
    <w:rsid w:val="001F686A"/>
    <w:rsid w:val="0020517E"/>
    <w:rsid w:val="002409D4"/>
    <w:rsid w:val="00244306"/>
    <w:rsid w:val="00255F28"/>
    <w:rsid w:val="002A49E1"/>
    <w:rsid w:val="002A5E29"/>
    <w:rsid w:val="002C06F0"/>
    <w:rsid w:val="002C5CA1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50B82"/>
    <w:rsid w:val="00471090"/>
    <w:rsid w:val="004901BD"/>
    <w:rsid w:val="004A1207"/>
    <w:rsid w:val="004C0B45"/>
    <w:rsid w:val="004D33CB"/>
    <w:rsid w:val="004F7538"/>
    <w:rsid w:val="00500DF2"/>
    <w:rsid w:val="00532B92"/>
    <w:rsid w:val="00556AF8"/>
    <w:rsid w:val="00572249"/>
    <w:rsid w:val="005722CD"/>
    <w:rsid w:val="005A0B69"/>
    <w:rsid w:val="005B3585"/>
    <w:rsid w:val="005D1FA2"/>
    <w:rsid w:val="005E1C80"/>
    <w:rsid w:val="005F7EB2"/>
    <w:rsid w:val="0061636E"/>
    <w:rsid w:val="00644553"/>
    <w:rsid w:val="00665482"/>
    <w:rsid w:val="006A7E4A"/>
    <w:rsid w:val="006C7538"/>
    <w:rsid w:val="006D071C"/>
    <w:rsid w:val="00702938"/>
    <w:rsid w:val="0072014A"/>
    <w:rsid w:val="007659E7"/>
    <w:rsid w:val="007A4518"/>
    <w:rsid w:val="007A57A3"/>
    <w:rsid w:val="007D2B1A"/>
    <w:rsid w:val="0080037A"/>
    <w:rsid w:val="008073A6"/>
    <w:rsid w:val="00816795"/>
    <w:rsid w:val="00822683"/>
    <w:rsid w:val="00836131"/>
    <w:rsid w:val="0086600E"/>
    <w:rsid w:val="00894FC6"/>
    <w:rsid w:val="008A140B"/>
    <w:rsid w:val="008A7A57"/>
    <w:rsid w:val="008E7E1B"/>
    <w:rsid w:val="0090063D"/>
    <w:rsid w:val="00934A7D"/>
    <w:rsid w:val="0094609E"/>
    <w:rsid w:val="00987FE5"/>
    <w:rsid w:val="009B06F1"/>
    <w:rsid w:val="00A00D5F"/>
    <w:rsid w:val="00A26760"/>
    <w:rsid w:val="00A30ECC"/>
    <w:rsid w:val="00A36C51"/>
    <w:rsid w:val="00A4552D"/>
    <w:rsid w:val="00A51E42"/>
    <w:rsid w:val="00A60025"/>
    <w:rsid w:val="00A92758"/>
    <w:rsid w:val="00A9398D"/>
    <w:rsid w:val="00AB2FD1"/>
    <w:rsid w:val="00AC5CF3"/>
    <w:rsid w:val="00AD01F5"/>
    <w:rsid w:val="00AE20ED"/>
    <w:rsid w:val="00AE2AD0"/>
    <w:rsid w:val="00B155D6"/>
    <w:rsid w:val="00B174DE"/>
    <w:rsid w:val="00B46513"/>
    <w:rsid w:val="00B67EFF"/>
    <w:rsid w:val="00B8531F"/>
    <w:rsid w:val="00BD5FB8"/>
    <w:rsid w:val="00BE677E"/>
    <w:rsid w:val="00C15099"/>
    <w:rsid w:val="00C24ACC"/>
    <w:rsid w:val="00CA4965"/>
    <w:rsid w:val="00CD0CB7"/>
    <w:rsid w:val="00CE3098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35282"/>
    <w:rsid w:val="00E45550"/>
    <w:rsid w:val="00E948CA"/>
    <w:rsid w:val="00EA564B"/>
    <w:rsid w:val="00EB056C"/>
    <w:rsid w:val="00EB677E"/>
    <w:rsid w:val="00EC74A9"/>
    <w:rsid w:val="00ED54BB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4</Pages>
  <Words>1592</Words>
  <Characters>9075</Characters>
  <Application>Microsoft Office Word</Application>
  <DocSecurity>0</DocSecurity>
  <Lines>75</Lines>
  <Paragraphs>21</Paragraphs>
  <ScaleCrop>false</ScaleCrop>
  <Company>diakov.net</Company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135</cp:revision>
  <dcterms:created xsi:type="dcterms:W3CDTF">2022-10-31T02:01:00Z</dcterms:created>
  <dcterms:modified xsi:type="dcterms:W3CDTF">2022-10-31T08:28:00Z</dcterms:modified>
</cp:coreProperties>
</file>