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2C" w:rsidRPr="004E562C" w:rsidRDefault="004E562C" w:rsidP="004E562C">
      <w:pPr>
        <w:shd w:val="clear" w:color="auto" w:fill="FFFFFF"/>
        <w:spacing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noProof/>
          <w:color w:val="2C2C2C"/>
          <w:sz w:val="20"/>
          <w:szCs w:val="20"/>
          <w:lang w:eastAsia="ru-RU"/>
        </w:rPr>
        <w:drawing>
          <wp:inline distT="0" distB="0" distL="0" distR="0">
            <wp:extent cx="381000" cy="482600"/>
            <wp:effectExtent l="0" t="0" r="0" b="0"/>
            <wp:docPr id="5" name="Рисунок 5" descr="http://oek.su/uploads/posts/2013-04/1365573178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ek.su/uploads/posts/2013-04/1365573178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2600"/>
                    </a:xfrm>
                    <a:prstGeom prst="rect">
                      <a:avLst/>
                    </a:prstGeom>
                    <a:noFill/>
                    <a:ln>
                      <a:noFill/>
                    </a:ln>
                  </pic:spPr>
                </pic:pic>
              </a:graphicData>
            </a:graphic>
          </wp:inline>
        </w:drawing>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РОССИЙСКАЯ ФЕДЕРАЦИЯ</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ИРКУТСКАЯ ОБЛАСТЬ</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ИРКУТСКИЙ РАЙОН</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АДМИНИСТРАЦИЯ ОЕКСКОГО МУНИЦИПАЛЬНОГО ОБРАЗОВАНИЯ</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ПОСТАНОВЛЕНИЕ</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от «20» марта 2013г. №77-п</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Об утверждении Положения о порядке разработки, утверждения и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долгосрочных муниципальных целевых программ на территории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в целях упорядочения процесса разработки, согласования, принятия и реализации долгосрочных муниципальных целевых программ на территории Оекского муниципального образования, обеспечения рационального расходования средств местного бюджета, направляемых на реализацию долгосрочных целевых программ, руководствуясь Уставом Оекского муниципального образования, администрация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ПОСТАНОВЛЯЕТ:</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 Утвердить Положение о порядке разработки, утверждения и реализации долгосрочных муниципальных целевых программ на территории Оекского муниципального образования согласно приложению №1.</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на сайте «www.oek.su».</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3. Контроль исполнения настоящего постановления оставляю за собой.</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Приложение №1</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 постановлению администрации</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Оекского муниципального образования</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от 20.03.2013 г. № 77-п</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ПОЛОЖЕНИЕ</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О ПОРЯДКЕ РАЗРАБОТКИ, УТВЕРЖДЕНИЯ И РЕАЛИЗАЦИИ ДОЛГОСРОЧНЫХ МУНИЦИПАЛЬНЫХ ЦЕЛЕВЫХ ПРОГРАММ</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1. Общие положения</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1.1. Для целей настоящего порядка используются следующие основные понятия: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lastRenderedPageBreak/>
        <w:t>Долгосрочные целевые программы - муниципальные программы, полностью или частично реализуемые за счет средств бюджета муниципального образования и направленные на решение общих проблем, развитие отдельных отраслей экономики или социальной сферы, разработанные на срок более одного года и требующие согласованного взаимодействия Администрации муниципального образования и хозяйствующих субъектов.</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Муниципальный заказчик долгосрочной целевой программы (далее - муниципальный заказчик) - главный распорядитель средств бюджета муниципального образования, несущий ответственность за реализацию программы в целом.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Исполнители долгосрочной целевой программы (далее - исполнители) - Администрация муниципального образования (отделы и должностные лица), подведомственные муниципальные учреждения, иные юридические лица, несущие ответственность за своевременную и качественную реализацию долгосрочной целевой программы или отдельных ее мероприятий, обеспечивающие эффективное и целевое использование средств бюджета муниципального образования, направленных на реализацию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Муниципальный заказчик, исполнители являются участниками долгосрочной целевой программы (далее - участники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1.2. Цель долгосрочной целевой программы должна соответствовать целям и приоритетам социально-экономического развития, направлениям структурной и научно-технической политики, прогнозам развития потребностей и финансовых ресурсов, результатам анализа экономического, социального и экологического состояния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Долгосрочные целевые программы должны быть сосредоточены на реализации крупномасштабных, наиболее важных для муниципального образования проектов и мероприятий, направленных на решение системных проблем.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Долгосрочная целевая программа может включать в себя несколько подпрограмм, направленных на решение конкретных задач в рамках целевой программы. Деление долгосрочной целевой программы на подпрограммы осуществляется исходя из масштабности и сложности решаемых проблем.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Не допускается внесение в долгосрочные целевые программы аналогичных мероприятий, указанных в других долгосрочных целевых программах.</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Долгосрочные целевые программы могут предусматривать бюджетные инвестиции в форме капитальных вложений в основные средства муниципальных учреждений за счет средств бюджета муниципального образования, а также субсидии из областного бюджета на софинансирование объектов капитального строительства муниципальной собственности.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1.3. Разработка проекта и утверждение долгосрочной целевой программы включают в себя следующие основные этапы: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отбор проблем для программной разработки;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принятие решения о разработке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формирование долгосрочной целевой программы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согласование и утверждение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1.4. Не являются долгосрочными целевыми программами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краткосрочные (сроком не более одного года) целевые мероприятия, реализуемые за счет средств бюджета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муниципальные правовые акты, регламентирующие финансирование из бюджета муниципального образования мероприятий, направленных на решение социально-экономических проблем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прогноз социально-экономического развития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инвестиционные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комплексные планы мероприятий, составленные на основе действующих целевых программ.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2. Принятие решения о разработке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lastRenderedPageBreak/>
        <w:t>2.1. Инициаторами разработки проекта долгосрочной целевой программы могут выступать руководители отделов и должностные лица администрации Оекского муниципального образования с учетом предложений юридических и физических лиц.</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2.2. Отбор проблем для программной разработки осуществляется в соответствии со следующими критериями: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значимость и актуальность проблемы;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невозможность комплексно решить проблему в определенные сроки без поддержки органов местного самоуправления;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сопряженность проблемы с федеральными и областными целевыми программами.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При обосновании необходимости решения проблем программными методами должны учитываться приоритеты и цели социально-экономического развития муниципального образования, направления структурной, социальной политики, прогнозы потребностей и финансовых ресурсов, результаты анализа социально-экономического, экологического состояния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2.3. Решение о целесообразности разработки долгосрочной целевой программы принимается на основании предложений, подготовленных инициаторами разработки соответствующей программы и согласованных в месячный срок с главой администрации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Предложения оформляются в виде пояснительной записки и должны содержать:</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наименование и значимость проблемы, анализ причин ее возникновения;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возможные способы решения существующей проблемы;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предполагаемый перечень основных мероприятий, которые необходимо выполнить для достижения целей долгосрочной целевой программы, и сроки их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возможные источники и объемы финансирования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предварительную оценку социально-экономической эффективности и последствий от реализации мероприятий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ориентировочная стоимость и источники финансирования разработки проекта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3. Формирование долгосрочных целевых программ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3.1. Муниципальный заказчик:</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разрабатывает проект долгосрочной целевой программы либо заключает договор с победителем конкурса на разработку проекта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координирует действия разработчика проекта долгосрочной целевой программы, согласовывает с исполнителями возможные сроки выполнения программных мероприятий, объемы и источники 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организует согласование проекта долгосрочной целевой программы и представление его на рассмотрение Главе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разрабатывает в пределах своих полномочий муниципальные правовые акты, необходимые для выполнения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координирует действия исполнителей;</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готовит ежегодно сведения о ходе реализации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готовит ежегодно в установленном порядке предложения по уточнению перечня программных мероприятий на очередной финансовый год, о перераспределении финансовых ресурсов между программно-целевыми мероприятиями, уточняет затраты по программным мероприятиям и обосновывает предлагаемые изменения;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ежегодно уточняет с основными исполнителями долгосрочной целевой программы возможные сроки выполнения мероприятий, объемы и источники 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xml:space="preserve">разрабатывает перечень целевых индикаторов и показателей для мониторинга реализации программных мероприятий, а также осуществляет мониторинг и ведение ежегодной отчетности о </w:t>
      </w:r>
      <w:r w:rsidRPr="004E562C">
        <w:rPr>
          <w:rFonts w:ascii="Tahoma" w:eastAsia="Times New Roman" w:hAnsi="Tahoma" w:cs="Tahoma"/>
          <w:color w:val="2C2C2C"/>
          <w:sz w:val="20"/>
          <w:szCs w:val="20"/>
          <w:lang w:eastAsia="ru-RU"/>
        </w:rPr>
        <w:lastRenderedPageBreak/>
        <w:t>реализации долгосрочной целевой программы в рамках отчета об исполнении бюджета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по мероприятиям, предусматривающим финансирование за счет средств внебюджетных источников, подписываются соглашения (договоры) о намерениях между муниципальными заказчиками программы и организациями;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формирует бюджетные заявки на соответствующий финансовый год по финансированию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несет ответственность за своевременную и качественную подготовку и реализацию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организует размещение информации о ходе и результатах реализации целевой программы, финансировании программно-целевых мероприятий, привлечении внебюджетных ресурсов, порядке участия в ней инвесторов;</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осуществляет иные действия в целях разработки, формирования и реализации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Формирование долгосрочной целевой программы осуществляет отдел или должностные лица администрации Оекского муниципального образования, наделенные соответствующими обязанностями и полномочиями.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3.2. Долгосрочная целевая программа состоит из паспорта (приложение № 1 к настоящему Порядку) и следующих разделов:</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содержание проблемы, анализ причин ее возникновения, обоснование необходимости ее решения программными методами;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основные цели, задачи, сроки и этапы реализации долгосрочной целевой программы, а также целевые индикаторы и показатели;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система программных мероприятий, при этом для каждого мероприятия указываются его исполнитель, сроки исполнения, объемы финансирования с разбивкой по годам и источникам финансирования (приложение № 2 к настоящему Порядку);</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ресурсное обеспечение долгосрочной целевой программы с разбивкой по годам и источникам 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механизм реализации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организация управления долгосрочной целевой программой и контроль за ходом ее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оценка эффективности социально-экономических и экологических последствий от реализации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Содержание разделов долгосрочной целевой программы должно соответствовать следующим требованиям.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Раздел "Содержание проблемы, анализ причин ее возникновения, обоснование необходимости ее решения программными методами" должен содержать развернутую постановку проблемы, включая анализ причин ее возникновения, обоснование ее взаимосвязи с приоритетами социально-экономического развития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Данный раздел также должен содержать исчерпывающее обоснование необходимости решения проблемы программно-целевым методом и анализ различных вариантов этого решения, а также описание основных рисков, связанных с использованием программно-целевого метода решения проблемы.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Раздел "Основные цели, задачи, сроки и этапы реализации долгосрочной целевой программы, а также целевые индикаторы и показатели" должен содержать развернутые характеристики целей и задач программы с указанием целевых индикаторов, применимых для оценки хода ее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Требования, предъявляемые к целям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специфичность (цели должны соответствовать компетенции муниципальных заказчиков);</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достижимость (цели должны быть потенциально достижимы);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параметральность (должна существовать возможность измерения и проверки достижения целей);</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временная обусловленность (должны быть установлены срок достижения цели и этапы реализации целевой программы с определением соответствующих целей).</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lastRenderedPageBreak/>
        <w:t>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достижения поставленных целей с описанием узловых этапов реализации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Раздел "Система программных мероприятий" должен содержать перечень программно-целевых мероприятий, которые предлагается реализовать для решения задач целевой программы и достижения поставленных целей, а также информацию об объемах ресурсов (с указанием статей расходов и источников финансирования), необходимых для реализации каждого мероприятия и сроках их проведения.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Программно-целевые мероприятия должны быть увязаны по срокам и ресурсам и обеспечивать решение задач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Программно-целевые мероприятия должны носить амортизационный характер и предусматривать комплекс мер по предотвращению или смягчению негативных последствий, которые могут возникнуть при их реализации, в том числе по созданию новых и сохранению существующих рабочих мест на территории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 разделе "Ресурсное обеспечение долгосрочной целевой программы" должна содержаться характеристика ресурсного обеспечения, необходимого для реализации, а также сроков, источников и направлений 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Раздел должен включать в себя обоснование возможности аккумуляции (помимо средств бюджета муниципального образования) внебюджетных средств, средств областного и федерального бюджетов для реализации программных мероприятий и описание условий (механизмов) вероятного софинансирования.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Разделы "Механизм реализации долгосрочной целевой программы" и "Организация управления долгосрочной целевой программой и контроль за ходом ее реализации" содержат комплекс последовательных результатообразующих организационных мер, осуществляемых участниками программы в ходе ее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 данном разделе приводятся механизмы корректировки программно-целевых мероприятий и их ресурсного обеспечения в ходе реализации целевой программы, процедуры обеспечения публичности (открытости) информации о ходе ее реализации, а также задаются организационные параметры системы мониторинга за ходом ее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Раздел "Оценка эффективности социально-экономических и экологических последствий реализации долгосрочной целевой программы" должен содержать описание социальных, экономических и экологических последствий, которые могут возникнуть в результате реализации целевой программы, общую оценку вклада целевой программы в развитие социальной и экономической сфер жизни муниципального образования, а также оценку эффективности расходования бюджетных средств. Оценка эффективности осуществляется по годам или этапам в течение всего срока реализации целевой программы, а при необходимости и после ее реализации.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Методика оценки эффективности целевой программы разрабатывается муниципальными заказчиками с учетом специфики целевой программы и оформляется в виде приложения к тексту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4. Согласование и утверждение долгосрочной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4.1. Проект долгосрочной целевой программы в обязательном порядке проходит согласование в финансово-экономическом отделе Администрации Оекского муниципального образования до вынесения на рассмотрение Главе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4.2. Долгосрочные целевые программы Оекского муниципального образования утверждаются постановлением Главы администрации.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5. Реализация и финансирование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5.1. Целевая программа полностью или частично реализуется за счет финансовых и (или) материальных ресурсов, находящихся в муниципальной собственности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lastRenderedPageBreak/>
        <w:t>Кроме средств бюджета Оекского муниципального образования источниками финансирования программы могут быть средства районного и областного бюджетов, а также привлекаемые средства внебюджетных источников.</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5.2. Целевые программы, финансирование которых предусматривается в очередном финансовом году, представляются на рассмотрение и утверждение Главы Администрации Оекского муниципального образовании.</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5.3. При подготовке проекта бюджета Оекского муниципального образования определяется объем финансирования программ в очередном финансовом году.</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5.4. Принятые к финансированию на очередной финансовый год целевые программы финансируются из бюджета Оекского муниципального образования согласно утвержденным объемам 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5.5. Режим сокращения или увеличения расходов целевых программ может быть введен в случаях и порядке, предусмотренных Бюджетным кодексом Российской Федерации и нормативными правовыми актами органов местного самоуправления Администрации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5.6. Изменения плана мероприятий целевой программы или досрочное прекращение реализации программы могут происходить в случаях:</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 досрочного выполнения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2) отсутствия (прекращения) финансирования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3) возникновения непредвиденных обстоятельств;</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4) актуальности программных мероприятий.</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Решение о внесении изменений в план мероприятий целевой программы или досрочном прекращении реализации целевой программы принимает Глава Администрации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5.7. Ведение учета и хранение документов, касающихся целевой программы (заключения, соглашения, договоры, контракты, распорядительные документы, утвержденная программа, акты сверки выполненных работ, бюджетные заявки, результаты анализа хода выполнения мероприятий, иные документы) осуществляет исполнитель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b/>
          <w:bCs/>
          <w:color w:val="2C2C2C"/>
          <w:sz w:val="20"/>
          <w:szCs w:val="20"/>
          <w:lang w:eastAsia="ru-RU"/>
        </w:rPr>
        <w:t>6. Контроль за ходом реализации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6.1. Контроль за ходом реализации целевой программы может осуществляться в процессе комплексных проверок, проводимых с участием заказчика, исполнителя и участника целевой программы. При необходимости к проведению проверки могут привлекаться необходимые специалисты.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6.2. Годовой отчет об исполнении целевых программ представляется исполнителями целевых программ Главе Администрации Оекского муниципального образования (Приложение №3 к порядку).</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Годовой отчет об исполнении целевых программ должен содержать:</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 данные о финансировании целевой программы в целом и по отдельным мероприятиям с разбивкой по источникам финансирования;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2) процент реализации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3) уровень достижения программных целей и запланированных показателей эффективности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6.3. По истечении срока выполнения целевой программы исполнитель в течение одного месяца готовит и направляет Главе Администрации Оекского муниципального образования сводный отчет о выполнении целевой программы (Приложение № 3 к порядку). К отчету прилагается пояснительная записка, отражающая состояние проблем, на решение которых была направлена целевая программа, степень достижения поставленных целей и результатов, эффективность завершенной целевой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lastRenderedPageBreak/>
        <w:t>6.4 . Годовой отчет о реализации программ в отчетном финансовом году представляется исполнителем соответствующей программы Главе Администрации Оекского муниципального образования.</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Приложение № 1</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 Порядку разработки, утверждения</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 реализации долгосрочных</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муниципальных целевых программ</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ПАСПОРТ ПРОГРАММЫ</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32"/>
        <w:gridCol w:w="1836"/>
      </w:tblGrid>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Наименование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Инициатор разработки проекта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Муниципальный заказчик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Разработчик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Основная цель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Основные задачи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Сроки и этапы реализации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Структура программы, перечень подпрограмм, основных </w:t>
            </w:r>
            <w:r w:rsidRPr="004E562C">
              <w:rPr>
                <w:rFonts w:ascii="Tahoma" w:eastAsia="Times New Roman" w:hAnsi="Tahoma" w:cs="Tahoma"/>
                <w:color w:val="2C2C2C"/>
                <w:sz w:val="20"/>
                <w:szCs w:val="20"/>
                <w:lang w:eastAsia="ru-RU"/>
              </w:rPr>
              <w:br/>
              <w:t>направлений и мероприятий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Исполнители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Объемы и источники финансирования программы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Ожидаемые конечные результаты реализации программы  </w:t>
            </w:r>
            <w:r w:rsidRPr="004E562C">
              <w:rPr>
                <w:rFonts w:ascii="Tahoma" w:eastAsia="Times New Roman" w:hAnsi="Tahoma" w:cs="Tahoma"/>
                <w:color w:val="2C2C2C"/>
                <w:sz w:val="20"/>
                <w:szCs w:val="20"/>
                <w:lang w:eastAsia="ru-RU"/>
              </w:rPr>
              <w:br/>
              <w:t>Целевые индикаторы и показатели                     </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58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Система организации контроля за исполнением программы</w:t>
            </w:r>
          </w:p>
        </w:tc>
        <w:tc>
          <w:tcPr>
            <w:tcW w:w="18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bl>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Приложение № 2</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 Порядку разработки, утверждения</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 реализации долгосрочных</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муниципальных целевых программ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СИСТЕМА ПРОГРАММНЫХ МЕРОПРИЯТИЙ</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4"/>
        <w:gridCol w:w="1296"/>
        <w:gridCol w:w="1188"/>
        <w:gridCol w:w="1188"/>
        <w:gridCol w:w="648"/>
        <w:gridCol w:w="540"/>
        <w:gridCol w:w="540"/>
        <w:gridCol w:w="540"/>
      </w:tblGrid>
      <w:tr w:rsidR="004E562C" w:rsidRPr="004E562C" w:rsidTr="004E562C">
        <w:trPr>
          <w:tblCellSpacing w:w="0" w:type="dxa"/>
        </w:trPr>
        <w:tc>
          <w:tcPr>
            <w:tcW w:w="1404" w:type="dxa"/>
            <w:vMerge w:val="restart"/>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Наименова</w:t>
            </w:r>
          </w:p>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ние</w:t>
            </w:r>
            <w:r w:rsidRPr="004E562C">
              <w:rPr>
                <w:rFonts w:ascii="Tahoma" w:eastAsia="Times New Roman" w:hAnsi="Tahoma" w:cs="Tahoma"/>
                <w:color w:val="2C2C2C"/>
                <w:sz w:val="20"/>
                <w:szCs w:val="20"/>
                <w:lang w:eastAsia="ru-RU"/>
              </w:rPr>
              <w:br/>
              <w:t>мероприятия</w:t>
            </w:r>
          </w:p>
        </w:tc>
        <w:tc>
          <w:tcPr>
            <w:tcW w:w="1296" w:type="dxa"/>
            <w:vMerge w:val="restart"/>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Исполнитель</w:t>
            </w:r>
          </w:p>
        </w:tc>
        <w:tc>
          <w:tcPr>
            <w:tcW w:w="1188" w:type="dxa"/>
            <w:vMerge w:val="restart"/>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Сроки  </w:t>
            </w:r>
            <w:r w:rsidRPr="004E562C">
              <w:rPr>
                <w:rFonts w:ascii="Tahoma" w:eastAsia="Times New Roman" w:hAnsi="Tahoma" w:cs="Tahoma"/>
                <w:color w:val="2C2C2C"/>
                <w:sz w:val="20"/>
                <w:szCs w:val="20"/>
                <w:lang w:eastAsia="ru-RU"/>
              </w:rPr>
              <w:br/>
              <w:t>выполне</w:t>
            </w:r>
          </w:p>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ния</w:t>
            </w:r>
          </w:p>
        </w:tc>
        <w:tc>
          <w:tcPr>
            <w:tcW w:w="1188" w:type="dxa"/>
            <w:vMerge w:val="restart"/>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Источники</w:t>
            </w:r>
            <w:r w:rsidRPr="004E562C">
              <w:rPr>
                <w:rFonts w:ascii="Tahoma" w:eastAsia="Times New Roman" w:hAnsi="Tahoma" w:cs="Tahoma"/>
                <w:color w:val="2C2C2C"/>
                <w:sz w:val="20"/>
                <w:szCs w:val="20"/>
                <w:lang w:eastAsia="ru-RU"/>
              </w:rPr>
              <w:br/>
              <w:t>финансиро-</w:t>
            </w:r>
            <w:r w:rsidRPr="004E562C">
              <w:rPr>
                <w:rFonts w:ascii="Tahoma" w:eastAsia="Times New Roman" w:hAnsi="Tahoma" w:cs="Tahoma"/>
                <w:color w:val="2C2C2C"/>
                <w:sz w:val="20"/>
                <w:szCs w:val="20"/>
                <w:lang w:eastAsia="ru-RU"/>
              </w:rPr>
              <w:br/>
              <w:t>вания    </w:t>
            </w:r>
          </w:p>
        </w:tc>
        <w:tc>
          <w:tcPr>
            <w:tcW w:w="2268" w:type="dxa"/>
            <w:gridSpan w:val="4"/>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Объем финансирования</w:t>
            </w:r>
          </w:p>
        </w:tc>
      </w:tr>
      <w:tr w:rsidR="004E562C" w:rsidRPr="004E562C" w:rsidTr="004E562C">
        <w:trPr>
          <w:tblCellSpacing w:w="0" w:type="dxa"/>
        </w:trPr>
        <w:tc>
          <w:tcPr>
            <w:tcW w:w="0" w:type="auto"/>
            <w:vMerge/>
            <w:shd w:val="clear" w:color="auto" w:fill="FFFFFF"/>
            <w:vAlign w:val="center"/>
            <w:hideMark/>
          </w:tcPr>
          <w:p w:rsidR="004E562C" w:rsidRPr="004E562C" w:rsidRDefault="004E562C" w:rsidP="004E562C">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4E562C" w:rsidRPr="004E562C" w:rsidRDefault="004E562C" w:rsidP="004E562C">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4E562C" w:rsidRPr="004E562C" w:rsidRDefault="004E562C" w:rsidP="004E562C">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4E562C" w:rsidRPr="004E562C" w:rsidRDefault="004E562C" w:rsidP="004E562C">
            <w:pPr>
              <w:spacing w:line="240" w:lineRule="auto"/>
              <w:ind w:firstLine="0"/>
              <w:rPr>
                <w:rFonts w:ascii="Tahoma" w:eastAsia="Times New Roman" w:hAnsi="Tahoma" w:cs="Tahoma"/>
                <w:color w:val="2C2C2C"/>
                <w:sz w:val="20"/>
                <w:szCs w:val="20"/>
                <w:lang w:eastAsia="ru-RU"/>
              </w:rPr>
            </w:pPr>
          </w:p>
        </w:tc>
        <w:tc>
          <w:tcPr>
            <w:tcW w:w="64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всего</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r w:rsidRPr="004E562C">
              <w:rPr>
                <w:rFonts w:ascii="Tahoma" w:eastAsia="Times New Roman" w:hAnsi="Tahoma" w:cs="Tahoma"/>
                <w:color w:val="2C2C2C"/>
                <w:sz w:val="20"/>
                <w:szCs w:val="20"/>
                <w:lang w:eastAsia="ru-RU"/>
              </w:rPr>
              <w:br/>
              <w:t>год</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r w:rsidRPr="004E562C">
              <w:rPr>
                <w:rFonts w:ascii="Tahoma" w:eastAsia="Times New Roman" w:hAnsi="Tahoma" w:cs="Tahoma"/>
                <w:color w:val="2C2C2C"/>
                <w:sz w:val="20"/>
                <w:szCs w:val="20"/>
                <w:lang w:eastAsia="ru-RU"/>
              </w:rPr>
              <w:br/>
              <w:t>год</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r w:rsidRPr="004E562C">
              <w:rPr>
                <w:rFonts w:ascii="Tahoma" w:eastAsia="Times New Roman" w:hAnsi="Tahoma" w:cs="Tahoma"/>
                <w:color w:val="2C2C2C"/>
                <w:sz w:val="20"/>
                <w:szCs w:val="20"/>
                <w:lang w:eastAsia="ru-RU"/>
              </w:rPr>
              <w:br/>
              <w:t>год</w:t>
            </w:r>
          </w:p>
        </w:tc>
      </w:tr>
      <w:tr w:rsidR="004E562C" w:rsidRPr="004E562C" w:rsidTr="004E562C">
        <w:trPr>
          <w:tblCellSpacing w:w="0" w:type="dxa"/>
        </w:trPr>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18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18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64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18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18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648"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54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bl>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Приложение № 3</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 Порядку разработки, утверждения</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 реализации долгосрочных</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муниципальных целевых программ</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lastRenderedPageBreak/>
        <w:t>ОТЧЕТ</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 РЕАЛИЗАЦИИ ДОЛГОСРОЧНОЙ ЦЕЛЕВОЙ ПРОГРАММЫ</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________________________________________________________</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(наименование долгосрочной целевой программы)</w:t>
      </w:r>
    </w:p>
    <w:p w:rsidR="004E562C" w:rsidRPr="004E562C" w:rsidRDefault="004E562C" w:rsidP="004E562C">
      <w:pPr>
        <w:shd w:val="clear" w:color="auto" w:fill="FFFFFF"/>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ПО СОСТОЯНИЮ НА _________________ 20____ ГОДА</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jc w:val="right"/>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тыс. руб.</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
        <w:gridCol w:w="1419"/>
        <w:gridCol w:w="1382"/>
        <w:gridCol w:w="1560"/>
        <w:gridCol w:w="1512"/>
        <w:gridCol w:w="972"/>
        <w:gridCol w:w="1634"/>
      </w:tblGrid>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N</w:t>
            </w:r>
            <w:r w:rsidRPr="004E562C">
              <w:rPr>
                <w:rFonts w:ascii="Tahoma" w:eastAsia="Times New Roman" w:hAnsi="Tahoma" w:cs="Tahoma"/>
                <w:color w:val="2C2C2C"/>
                <w:sz w:val="20"/>
                <w:szCs w:val="20"/>
                <w:lang w:eastAsia="ru-RU"/>
              </w:rPr>
              <w:br/>
              <w:t>п/п</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Мероприятие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Исполнитель   </w:t>
            </w:r>
          </w:p>
        </w:tc>
        <w:tc>
          <w:tcPr>
            <w:tcW w:w="1260" w:type="dxa"/>
            <w:shd w:val="clear" w:color="auto" w:fill="FFFFFF"/>
            <w:hideMark/>
          </w:tcPr>
          <w:p w:rsidR="004E562C" w:rsidRPr="004E562C" w:rsidRDefault="004E562C" w:rsidP="004E562C">
            <w:pPr>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Источник  </w:t>
            </w:r>
            <w:r w:rsidRPr="004E562C">
              <w:rPr>
                <w:rFonts w:ascii="Tahoma" w:eastAsia="Times New Roman" w:hAnsi="Tahoma" w:cs="Tahoma"/>
                <w:color w:val="2C2C2C"/>
                <w:sz w:val="20"/>
                <w:szCs w:val="20"/>
                <w:lang w:eastAsia="ru-RU"/>
              </w:rPr>
              <w:br/>
              <w:t>финансирования</w:t>
            </w:r>
          </w:p>
        </w:tc>
        <w:tc>
          <w:tcPr>
            <w:tcW w:w="1512" w:type="dxa"/>
            <w:shd w:val="clear" w:color="auto" w:fill="FFFFFF"/>
            <w:hideMark/>
          </w:tcPr>
          <w:p w:rsidR="004E562C" w:rsidRPr="004E562C" w:rsidRDefault="004E562C" w:rsidP="004E562C">
            <w:pPr>
              <w:spacing w:after="96" w:line="240" w:lineRule="auto"/>
              <w:ind w:firstLine="0"/>
              <w:jc w:val="center"/>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Объем бюджетных ассигнований на 20__год</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Кассовый</w:t>
            </w:r>
            <w:r w:rsidRPr="004E562C">
              <w:rPr>
                <w:rFonts w:ascii="Tahoma" w:eastAsia="Times New Roman" w:hAnsi="Tahoma" w:cs="Tahoma"/>
                <w:color w:val="2C2C2C"/>
                <w:sz w:val="20"/>
                <w:szCs w:val="20"/>
                <w:lang w:eastAsia="ru-RU"/>
              </w:rPr>
              <w:br/>
              <w:t>расход</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Результативность проводимых программных   </w:t>
            </w:r>
            <w:r w:rsidRPr="004E562C">
              <w:rPr>
                <w:rFonts w:ascii="Tahoma" w:eastAsia="Times New Roman" w:hAnsi="Tahoma" w:cs="Tahoma"/>
                <w:color w:val="2C2C2C"/>
                <w:sz w:val="20"/>
                <w:szCs w:val="20"/>
                <w:lang w:eastAsia="ru-RU"/>
              </w:rPr>
              <w:br/>
              <w:t>мероприятий</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1.</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2.</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3.</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ИТОГО: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Федеральный  </w:t>
            </w:r>
            <w:r w:rsidRPr="004E562C">
              <w:rPr>
                <w:rFonts w:ascii="Tahoma" w:eastAsia="Times New Roman" w:hAnsi="Tahoma" w:cs="Tahoma"/>
                <w:color w:val="2C2C2C"/>
                <w:sz w:val="20"/>
                <w:szCs w:val="20"/>
                <w:lang w:eastAsia="ru-RU"/>
              </w:rPr>
              <w:br/>
              <w:t>бюджет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Областной    </w:t>
            </w:r>
            <w:r w:rsidRPr="004E562C">
              <w:rPr>
                <w:rFonts w:ascii="Tahoma" w:eastAsia="Times New Roman" w:hAnsi="Tahoma" w:cs="Tahoma"/>
                <w:color w:val="2C2C2C"/>
                <w:sz w:val="20"/>
                <w:szCs w:val="20"/>
                <w:lang w:eastAsia="ru-RU"/>
              </w:rPr>
              <w:br/>
              <w:t>бюджет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Бюджет муниципального образования</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r w:rsidR="004E562C" w:rsidRPr="004E562C" w:rsidTr="004E562C">
        <w:trPr>
          <w:tblCellSpacing w:w="0" w:type="dxa"/>
        </w:trPr>
        <w:tc>
          <w:tcPr>
            <w:tcW w:w="43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9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36"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260"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Внебюджетные </w:t>
            </w:r>
            <w:r w:rsidRPr="004E562C">
              <w:rPr>
                <w:rFonts w:ascii="Tahoma" w:eastAsia="Times New Roman" w:hAnsi="Tahoma" w:cs="Tahoma"/>
                <w:color w:val="2C2C2C"/>
                <w:sz w:val="20"/>
                <w:szCs w:val="20"/>
                <w:lang w:eastAsia="ru-RU"/>
              </w:rPr>
              <w:br/>
              <w:t>источники    </w:t>
            </w:r>
          </w:p>
        </w:tc>
        <w:tc>
          <w:tcPr>
            <w:tcW w:w="151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972"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c>
          <w:tcPr>
            <w:tcW w:w="1404" w:type="dxa"/>
            <w:shd w:val="clear" w:color="auto" w:fill="FFFFFF"/>
            <w:hideMark/>
          </w:tcPr>
          <w:p w:rsidR="004E562C" w:rsidRPr="004E562C" w:rsidRDefault="004E562C" w:rsidP="004E562C">
            <w:pPr>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tc>
      </w:tr>
    </w:tbl>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 </w:t>
      </w:r>
    </w:p>
    <w:p w:rsidR="004E562C" w:rsidRPr="004E562C" w:rsidRDefault="004E562C" w:rsidP="004E562C">
      <w:pPr>
        <w:shd w:val="clear" w:color="auto" w:fill="FFFFFF"/>
        <w:spacing w:after="96" w:line="240" w:lineRule="auto"/>
        <w:ind w:firstLine="0"/>
        <w:rPr>
          <w:rFonts w:ascii="Tahoma" w:eastAsia="Times New Roman" w:hAnsi="Tahoma" w:cs="Tahoma"/>
          <w:color w:val="2C2C2C"/>
          <w:sz w:val="20"/>
          <w:szCs w:val="20"/>
          <w:lang w:eastAsia="ru-RU"/>
        </w:rPr>
      </w:pPr>
      <w:r w:rsidRPr="004E562C">
        <w:rPr>
          <w:rFonts w:ascii="Tahoma" w:eastAsia="Times New Roman" w:hAnsi="Tahoma" w:cs="Tahoma"/>
          <w:color w:val="2C2C2C"/>
          <w:sz w:val="20"/>
          <w:szCs w:val="20"/>
          <w:lang w:eastAsia="ru-RU"/>
        </w:rPr>
        <w:t>Руководитель организации: ФИО (подпись)</w:t>
      </w:r>
    </w:p>
    <w:p w:rsidR="003E0016" w:rsidRPr="00594EA1" w:rsidRDefault="003E0016" w:rsidP="00594EA1">
      <w:bookmarkStart w:id="0" w:name="_GoBack"/>
      <w:bookmarkEnd w:id="0"/>
    </w:p>
    <w:sectPr w:rsidR="003E0016" w:rsidRPr="0059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092176"/>
    <w:rsid w:val="001011E1"/>
    <w:rsid w:val="001239A2"/>
    <w:rsid w:val="00130B98"/>
    <w:rsid w:val="00217B05"/>
    <w:rsid w:val="00227B2E"/>
    <w:rsid w:val="002966F1"/>
    <w:rsid w:val="003404F4"/>
    <w:rsid w:val="003A7398"/>
    <w:rsid w:val="003D07C3"/>
    <w:rsid w:val="003E0016"/>
    <w:rsid w:val="003E7724"/>
    <w:rsid w:val="00467A01"/>
    <w:rsid w:val="004E562C"/>
    <w:rsid w:val="00574E30"/>
    <w:rsid w:val="00590F08"/>
    <w:rsid w:val="00594EA1"/>
    <w:rsid w:val="006569CD"/>
    <w:rsid w:val="00675233"/>
    <w:rsid w:val="0068082D"/>
    <w:rsid w:val="006E611C"/>
    <w:rsid w:val="00867EAC"/>
    <w:rsid w:val="008A140B"/>
    <w:rsid w:val="008A440B"/>
    <w:rsid w:val="008A4A78"/>
    <w:rsid w:val="00926DB1"/>
    <w:rsid w:val="009D1D71"/>
    <w:rsid w:val="009E2B60"/>
    <w:rsid w:val="00A55E23"/>
    <w:rsid w:val="00A7527E"/>
    <w:rsid w:val="00AC2F1D"/>
    <w:rsid w:val="00C213CA"/>
    <w:rsid w:val="00CC6527"/>
    <w:rsid w:val="00D2502A"/>
    <w:rsid w:val="00D30867"/>
    <w:rsid w:val="00D705AD"/>
    <w:rsid w:val="00DA5884"/>
    <w:rsid w:val="00DD34AC"/>
    <w:rsid w:val="00EC30FE"/>
    <w:rsid w:val="00ED02B5"/>
    <w:rsid w:val="00EE70DB"/>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594EA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594EA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194739316">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305430448">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558832459">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576283206">
      <w:bodyDiv w:val="1"/>
      <w:marLeft w:val="0"/>
      <w:marRight w:val="0"/>
      <w:marTop w:val="0"/>
      <w:marBottom w:val="0"/>
      <w:divBdr>
        <w:top w:val="none" w:sz="0" w:space="0" w:color="auto"/>
        <w:left w:val="none" w:sz="0" w:space="0" w:color="auto"/>
        <w:bottom w:val="none" w:sz="0" w:space="0" w:color="auto"/>
        <w:right w:val="none" w:sz="0" w:space="0" w:color="auto"/>
      </w:divBdr>
    </w:div>
    <w:div w:id="649360228">
      <w:bodyDiv w:val="1"/>
      <w:marLeft w:val="0"/>
      <w:marRight w:val="0"/>
      <w:marTop w:val="0"/>
      <w:marBottom w:val="0"/>
      <w:divBdr>
        <w:top w:val="none" w:sz="0" w:space="0" w:color="auto"/>
        <w:left w:val="none" w:sz="0" w:space="0" w:color="auto"/>
        <w:bottom w:val="none" w:sz="0" w:space="0" w:color="auto"/>
        <w:right w:val="none" w:sz="0" w:space="0" w:color="auto"/>
      </w:divBdr>
    </w:div>
    <w:div w:id="807091698">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25134986">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195536386">
      <w:bodyDiv w:val="1"/>
      <w:marLeft w:val="0"/>
      <w:marRight w:val="0"/>
      <w:marTop w:val="0"/>
      <w:marBottom w:val="0"/>
      <w:divBdr>
        <w:top w:val="none" w:sz="0" w:space="0" w:color="auto"/>
        <w:left w:val="none" w:sz="0" w:space="0" w:color="auto"/>
        <w:bottom w:val="none" w:sz="0" w:space="0" w:color="auto"/>
        <w:right w:val="none" w:sz="0" w:space="0" w:color="auto"/>
      </w:divBdr>
    </w:div>
    <w:div w:id="1262027550">
      <w:bodyDiv w:val="1"/>
      <w:marLeft w:val="0"/>
      <w:marRight w:val="0"/>
      <w:marTop w:val="0"/>
      <w:marBottom w:val="0"/>
      <w:divBdr>
        <w:top w:val="none" w:sz="0" w:space="0" w:color="auto"/>
        <w:left w:val="none" w:sz="0" w:space="0" w:color="auto"/>
        <w:bottom w:val="none" w:sz="0" w:space="0" w:color="auto"/>
        <w:right w:val="none" w:sz="0" w:space="0" w:color="auto"/>
      </w:divBdr>
    </w:div>
    <w:div w:id="1528788806">
      <w:bodyDiv w:val="1"/>
      <w:marLeft w:val="0"/>
      <w:marRight w:val="0"/>
      <w:marTop w:val="0"/>
      <w:marBottom w:val="0"/>
      <w:divBdr>
        <w:top w:val="none" w:sz="0" w:space="0" w:color="auto"/>
        <w:left w:val="none" w:sz="0" w:space="0" w:color="auto"/>
        <w:bottom w:val="none" w:sz="0" w:space="0" w:color="auto"/>
        <w:right w:val="none" w:sz="0" w:space="0" w:color="auto"/>
      </w:divBdr>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563712147">
      <w:bodyDiv w:val="1"/>
      <w:marLeft w:val="0"/>
      <w:marRight w:val="0"/>
      <w:marTop w:val="0"/>
      <w:marBottom w:val="0"/>
      <w:divBdr>
        <w:top w:val="none" w:sz="0" w:space="0" w:color="auto"/>
        <w:left w:val="none" w:sz="0" w:space="0" w:color="auto"/>
        <w:bottom w:val="none" w:sz="0" w:space="0" w:color="auto"/>
        <w:right w:val="none" w:sz="0" w:space="0" w:color="auto"/>
      </w:divBdr>
    </w:div>
    <w:div w:id="1603608399">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16978815">
      <w:bodyDiv w:val="1"/>
      <w:marLeft w:val="0"/>
      <w:marRight w:val="0"/>
      <w:marTop w:val="0"/>
      <w:marBottom w:val="0"/>
      <w:divBdr>
        <w:top w:val="none" w:sz="0" w:space="0" w:color="auto"/>
        <w:left w:val="none" w:sz="0" w:space="0" w:color="auto"/>
        <w:bottom w:val="none" w:sz="0" w:space="0" w:color="auto"/>
        <w:right w:val="none" w:sz="0" w:space="0" w:color="auto"/>
      </w:divBdr>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768236412">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1217238">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27306383">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 w:id="1991858833">
      <w:bodyDiv w:val="1"/>
      <w:marLeft w:val="0"/>
      <w:marRight w:val="0"/>
      <w:marTop w:val="0"/>
      <w:marBottom w:val="0"/>
      <w:divBdr>
        <w:top w:val="none" w:sz="0" w:space="0" w:color="auto"/>
        <w:left w:val="none" w:sz="0" w:space="0" w:color="auto"/>
        <w:bottom w:val="none" w:sz="0" w:space="0" w:color="auto"/>
        <w:right w:val="none" w:sz="0" w:space="0" w:color="auto"/>
      </w:divBdr>
    </w:div>
    <w:div w:id="20744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42</cp:revision>
  <dcterms:created xsi:type="dcterms:W3CDTF">2022-10-21T04:13:00Z</dcterms:created>
  <dcterms:modified xsi:type="dcterms:W3CDTF">2022-10-21T05:25:00Z</dcterms:modified>
</cp:coreProperties>
</file>