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noProof/>
          <w:color w:val="2C2C2C"/>
          <w:sz w:val="20"/>
          <w:szCs w:val="20"/>
          <w:lang w:eastAsia="ru-RU"/>
        </w:rPr>
        <w:drawing>
          <wp:inline distT="0" distB="0" distL="0" distR="0">
            <wp:extent cx="381000" cy="480060"/>
            <wp:effectExtent l="0" t="0" r="0" b="0"/>
            <wp:docPr id="21" name="Рисунок 21" descr="http://oek.su/uploads/posts/2013-11/1384930333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ek.su/uploads/posts/2013-11/1384930333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ИРКУТСКАЯ ОБЛАСТЬ</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ИРКУТСКИЙ РАЙОН</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АДМИНИСТРАЦИЯ ОЁКСКОГО МУНИЦИПАЛЬНОГО ОБРАЗОВАНИЯ</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ПОСТАНОВЛЕНИЕ</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от   « 17» октября 2013 г.                                                                   № 237-п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44"/>
      </w:tblGrid>
      <w:tr w:rsidR="00E875F3" w:rsidRPr="00E875F3" w:rsidTr="00E875F3">
        <w:trPr>
          <w:tblCellSpacing w:w="0" w:type="dxa"/>
        </w:trPr>
        <w:tc>
          <w:tcPr>
            <w:tcW w:w="3744" w:type="dxa"/>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Об утверждении Положения о спортивных и детских площадках на территории Оекского муниципального образования</w:t>
            </w:r>
          </w:p>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tc>
      </w:tr>
    </w:tbl>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В целях обеспечения Оекского муниципального образования спортивными и детскими площадками надлежащего качества, их содержания и эксплуатации, руководствуясь п.6 ч.1 ст.6, ст. 48, 52 Устава Оекского муниципального образования, Администрация Оекского муниципального образования,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ПОСТАНОВЛЯЕТ:</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1. Утвердить прилагаемое Положение о спортивных и детских игровых площадках на территории Оекского муниципального образования. (Приложение 1)</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2.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отдела по управлению имуществом, ЖКХ, транспорта и связи администрации (В.А. Куклина).</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right"/>
        <w:rPr>
          <w:rFonts w:ascii="Tahoma" w:eastAsia="Times New Roman" w:hAnsi="Tahoma" w:cs="Tahoma"/>
          <w:color w:val="2C2C2C"/>
          <w:sz w:val="20"/>
          <w:szCs w:val="20"/>
          <w:lang w:eastAsia="ru-RU"/>
        </w:rPr>
      </w:pPr>
      <w:r w:rsidRPr="00E875F3">
        <w:rPr>
          <w:rFonts w:ascii="Tahoma" w:eastAsia="Times New Roman" w:hAnsi="Tahoma" w:cs="Tahoma"/>
          <w:i/>
          <w:iCs/>
          <w:color w:val="2C2C2C"/>
          <w:sz w:val="20"/>
          <w:szCs w:val="20"/>
          <w:lang w:eastAsia="ru-RU"/>
        </w:rPr>
        <w:t> Глава администрации Оекского муниципального образования П.Н.Новосельцев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right"/>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Приложение 1</w:t>
      </w:r>
    </w:p>
    <w:p w:rsidR="00E875F3" w:rsidRPr="00E875F3" w:rsidRDefault="00E875F3" w:rsidP="00E875F3">
      <w:pPr>
        <w:shd w:val="clear" w:color="auto" w:fill="FFFFFF"/>
        <w:spacing w:after="96" w:line="240" w:lineRule="auto"/>
        <w:ind w:firstLine="0"/>
        <w:jc w:val="right"/>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к постановлению Главы</w:t>
      </w:r>
    </w:p>
    <w:p w:rsidR="00E875F3" w:rsidRPr="00E875F3" w:rsidRDefault="00E875F3" w:rsidP="00E875F3">
      <w:pPr>
        <w:shd w:val="clear" w:color="auto" w:fill="FFFFFF"/>
        <w:spacing w:after="96" w:line="240" w:lineRule="auto"/>
        <w:ind w:firstLine="0"/>
        <w:jc w:val="right"/>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администрации Оекского МО</w:t>
      </w:r>
    </w:p>
    <w:p w:rsidR="00E875F3" w:rsidRPr="00E875F3" w:rsidRDefault="00E875F3" w:rsidP="00E875F3">
      <w:pPr>
        <w:shd w:val="clear" w:color="auto" w:fill="FFFFFF"/>
        <w:spacing w:after="96" w:line="240" w:lineRule="auto"/>
        <w:ind w:firstLine="0"/>
        <w:jc w:val="right"/>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от   17.10.2013 г. №  237-п</w:t>
      </w:r>
    </w:p>
    <w:p w:rsidR="00E875F3" w:rsidRPr="00E875F3" w:rsidRDefault="00E875F3" w:rsidP="00E875F3">
      <w:pPr>
        <w:shd w:val="clear" w:color="auto" w:fill="FFFFFF"/>
        <w:spacing w:after="96" w:line="240" w:lineRule="auto"/>
        <w:ind w:firstLine="0"/>
        <w:jc w:val="right"/>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ПОЛОЖЕНИЕ</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О СПОРТИВНЫХ И ДЕТСКИХ ИГРОВЫХ ПЛОЩАДКАХ НА ТЕРРИТОРИИ</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b/>
          <w:bCs/>
          <w:color w:val="2C2C2C"/>
          <w:sz w:val="20"/>
          <w:szCs w:val="20"/>
          <w:lang w:eastAsia="ru-RU"/>
        </w:rPr>
        <w:t>Оекского МО</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1. ОБЩИЕ ПОЛОЖЕНИЯ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1.1. Настоящее Положение определяет типовой состав детских игровых площадок, порядок их установки, правила эксплуатации и технического обслуживания и является обязательным для исполнения на территории Оекского муниципального образования.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1.2. Наличие сертификата безопасности является необходимым для производителей детского игрового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lastRenderedPageBreak/>
        <w:t>2. ОСНОВНЫЕ ПОНЯТИЯ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2.1. В настоящем Положении используются следующие основные термины и понятия: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2.1.1. Детская игровая площадка - предназначена для игр и активного отдыха детей 6 – 12 лет.</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2.1.2. Регулярный визуальный осмотр -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2.1.3. Функциональный осмотр - детальная проверка с целью оценки рабочего состояния, степени изношенности, прочности и устойчивости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2.1.4. Ежегодный основной осмотр - проверка, выполняемая с периодичностью один раз в год с целью оценки соответствия технического состояния оборудования требованиям безопасности.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3. КЛАССИФИКАЦИЯ ДЕТСКИХ ИГРОВЫХ ПЛОЩАДОК</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3.1 Детские игровые площадки, расположенные на территории Оекского МО, устанавливаются по решению администрации Оекского МО за счет бюджетных средств. После сдачи объекта в эксплуатацию площадки  обслуживаются за счет местного бюджета.</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4. РАЗМЕЩЕНИЕ И РАЗМЕРЫ СПОРТИВНЫХ И ДЕТСКИХ ПЛОЩАДОК</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4.1. Размещение и размеры спортивных и детских площадок должны соответствовать следующим требованиям: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34"/>
        <w:gridCol w:w="1632"/>
        <w:gridCol w:w="2340"/>
      </w:tblGrid>
      <w:tr w:rsidR="00E875F3" w:rsidRPr="00E875F3" w:rsidTr="00E875F3">
        <w:trPr>
          <w:tblCellSpacing w:w="0" w:type="dxa"/>
        </w:trPr>
        <w:tc>
          <w:tcPr>
            <w:tcW w:w="3516"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Площадки                </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Удельные</w:t>
            </w:r>
            <w:r w:rsidRPr="00E875F3">
              <w:rPr>
                <w:rFonts w:ascii="Tahoma" w:eastAsia="Times New Roman" w:hAnsi="Tahoma" w:cs="Tahoma"/>
                <w:color w:val="2C2C2C"/>
                <w:sz w:val="20"/>
                <w:szCs w:val="20"/>
                <w:lang w:eastAsia="ru-RU"/>
              </w:rPr>
              <w:br/>
              <w:t> размеры</w:t>
            </w:r>
            <w:r w:rsidRPr="00E875F3">
              <w:rPr>
                <w:rFonts w:ascii="Tahoma" w:eastAsia="Times New Roman" w:hAnsi="Tahoma" w:cs="Tahoma"/>
                <w:color w:val="2C2C2C"/>
                <w:sz w:val="20"/>
                <w:szCs w:val="20"/>
                <w:lang w:eastAsia="ru-RU"/>
              </w:rPr>
              <w:br/>
              <w:t>площадок,</w:t>
            </w:r>
            <w:r w:rsidRPr="00E875F3">
              <w:rPr>
                <w:rFonts w:ascii="Tahoma" w:eastAsia="Times New Roman" w:hAnsi="Tahoma" w:cs="Tahoma"/>
                <w:color w:val="2C2C2C"/>
                <w:sz w:val="20"/>
                <w:szCs w:val="20"/>
                <w:lang w:eastAsia="ru-RU"/>
              </w:rPr>
              <w:br/>
              <w:t>кв.м/чел.</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Расстояния от   </w:t>
            </w:r>
            <w:r w:rsidRPr="00E875F3">
              <w:rPr>
                <w:rFonts w:ascii="Tahoma" w:eastAsia="Times New Roman" w:hAnsi="Tahoma" w:cs="Tahoma"/>
                <w:color w:val="2C2C2C"/>
                <w:sz w:val="20"/>
                <w:szCs w:val="20"/>
                <w:lang w:eastAsia="ru-RU"/>
              </w:rPr>
              <w:br/>
              <w:t>  площадок до окон </w:t>
            </w:r>
            <w:r w:rsidRPr="00E875F3">
              <w:rPr>
                <w:rFonts w:ascii="Tahoma" w:eastAsia="Times New Roman" w:hAnsi="Tahoma" w:cs="Tahoma"/>
                <w:color w:val="2C2C2C"/>
                <w:sz w:val="20"/>
                <w:szCs w:val="20"/>
                <w:lang w:eastAsia="ru-RU"/>
              </w:rPr>
              <w:br/>
              <w:t>жилых и общественных</w:t>
            </w:r>
            <w:r w:rsidRPr="00E875F3">
              <w:rPr>
                <w:rFonts w:ascii="Tahoma" w:eastAsia="Times New Roman" w:hAnsi="Tahoma" w:cs="Tahoma"/>
                <w:color w:val="2C2C2C"/>
                <w:sz w:val="20"/>
                <w:szCs w:val="20"/>
                <w:lang w:eastAsia="ru-RU"/>
              </w:rPr>
              <w:br/>
              <w:t>     зданий, м</w:t>
            </w:r>
          </w:p>
        </w:tc>
      </w:tr>
      <w:tr w:rsidR="00E875F3" w:rsidRPr="00E875F3" w:rsidTr="00E875F3">
        <w:trPr>
          <w:tblCellSpacing w:w="0" w:type="dxa"/>
        </w:trPr>
        <w:tc>
          <w:tcPr>
            <w:tcW w:w="3516"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Для  игр  детей  дошкольного  и   младшего</w:t>
            </w:r>
            <w:r w:rsidRPr="00E875F3">
              <w:rPr>
                <w:rFonts w:ascii="Tahoma" w:eastAsia="Times New Roman" w:hAnsi="Tahoma" w:cs="Tahoma"/>
                <w:color w:val="2C2C2C"/>
                <w:sz w:val="20"/>
                <w:szCs w:val="20"/>
                <w:lang w:eastAsia="ru-RU"/>
              </w:rPr>
              <w:br/>
              <w:t>школьного возраста                       </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0,5 - 0,7</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12</w:t>
            </w:r>
          </w:p>
        </w:tc>
      </w:tr>
    </w:tbl>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4.2. При размещении детских площадок при существующей жилищной застройке удельные размеры могут быть уменьшены, но не более чем на 50%.</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 СОСТАВ И ТРЕБОВАНИЯ К ИГРОВОМУ</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ОБОРУДОВАНИЮ</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5.1 Игровое оборудование детских площадок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Рекомендуется применение модульного оборудования, обеспечивающего вариантность сочетаний элементов.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Требования к материалу игрового оборудования и условиям его обработки следующие:</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w:t>
      </w:r>
      <w:r w:rsidRPr="00E875F3">
        <w:rPr>
          <w:rFonts w:ascii="Tahoma" w:eastAsia="Times New Roman" w:hAnsi="Tahoma" w:cs="Tahoma"/>
          <w:color w:val="2C2C2C"/>
          <w:sz w:val="20"/>
          <w:szCs w:val="20"/>
          <w:lang w:eastAsia="ru-RU"/>
        </w:rPr>
        <w:lastRenderedPageBreak/>
        <w:t>покрытие); рекомендуется применять металлопластик, который не травмирует, не ржавеет, морозоустойчив;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5.2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5.3 При размещении игрового оборудования на детских игровых площадках необходимо соблюдать минимальные расстояния безопасности.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8"/>
        <w:gridCol w:w="6288"/>
      </w:tblGrid>
      <w:tr w:rsidR="00E875F3" w:rsidRPr="00E875F3" w:rsidTr="00E875F3">
        <w:trPr>
          <w:tblCellSpacing w:w="0" w:type="dxa"/>
        </w:trPr>
        <w:tc>
          <w:tcPr>
            <w:tcW w:w="130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Игровое  </w:t>
            </w:r>
            <w:r w:rsidRPr="00E875F3">
              <w:rPr>
                <w:rFonts w:ascii="Tahoma" w:eastAsia="Times New Roman" w:hAnsi="Tahoma" w:cs="Tahoma"/>
                <w:color w:val="2C2C2C"/>
                <w:sz w:val="20"/>
                <w:szCs w:val="20"/>
                <w:lang w:eastAsia="ru-RU"/>
              </w:rPr>
              <w:br/>
              <w:t>оборудование</w:t>
            </w:r>
          </w:p>
        </w:tc>
        <w:tc>
          <w:tcPr>
            <w:tcW w:w="628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Минимальные расстояния                  </w:t>
            </w:r>
          </w:p>
        </w:tc>
      </w:tr>
      <w:tr w:rsidR="00E875F3" w:rsidRPr="00E875F3" w:rsidTr="00E875F3">
        <w:trPr>
          <w:tblCellSpacing w:w="0" w:type="dxa"/>
        </w:trPr>
        <w:tc>
          <w:tcPr>
            <w:tcW w:w="130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Качели     </w:t>
            </w:r>
          </w:p>
        </w:tc>
        <w:tc>
          <w:tcPr>
            <w:tcW w:w="628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Не менее 1,5 м в стороны от боковых конструкций и не менее 2</w:t>
            </w:r>
            <w:r w:rsidRPr="00E875F3">
              <w:rPr>
                <w:rFonts w:ascii="Tahoma" w:eastAsia="Times New Roman" w:hAnsi="Tahoma" w:cs="Tahoma"/>
                <w:color w:val="2C2C2C"/>
                <w:sz w:val="20"/>
                <w:szCs w:val="20"/>
                <w:lang w:eastAsia="ru-RU"/>
              </w:rPr>
              <w:br/>
              <w:t>м вперед  (назад)  от  крайних  точек  качелей  в  состоянии</w:t>
            </w:r>
            <w:r w:rsidRPr="00E875F3">
              <w:rPr>
                <w:rFonts w:ascii="Tahoma" w:eastAsia="Times New Roman" w:hAnsi="Tahoma" w:cs="Tahoma"/>
                <w:color w:val="2C2C2C"/>
                <w:sz w:val="20"/>
                <w:szCs w:val="20"/>
                <w:lang w:eastAsia="ru-RU"/>
              </w:rPr>
              <w:br/>
              <w:t>наклона                                                     </w:t>
            </w:r>
          </w:p>
        </w:tc>
      </w:tr>
      <w:tr w:rsidR="00E875F3" w:rsidRPr="00E875F3" w:rsidTr="00E875F3">
        <w:trPr>
          <w:tblCellSpacing w:w="0" w:type="dxa"/>
        </w:trPr>
        <w:tc>
          <w:tcPr>
            <w:tcW w:w="130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Качалки    </w:t>
            </w:r>
          </w:p>
        </w:tc>
        <w:tc>
          <w:tcPr>
            <w:tcW w:w="628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Не менее 1,0 м в стороны от боковых конструкций и  не  менее</w:t>
            </w:r>
            <w:r w:rsidRPr="00E875F3">
              <w:rPr>
                <w:rFonts w:ascii="Tahoma" w:eastAsia="Times New Roman" w:hAnsi="Tahoma" w:cs="Tahoma"/>
                <w:color w:val="2C2C2C"/>
                <w:sz w:val="20"/>
                <w:szCs w:val="20"/>
                <w:lang w:eastAsia="ru-RU"/>
              </w:rPr>
              <w:br/>
              <w:t>1,5 м вперед от крайних точек качалки в состоянии наклона  </w:t>
            </w:r>
          </w:p>
        </w:tc>
      </w:tr>
      <w:tr w:rsidR="00E875F3" w:rsidRPr="00E875F3" w:rsidTr="00E875F3">
        <w:trPr>
          <w:tblCellSpacing w:w="0" w:type="dxa"/>
        </w:trPr>
        <w:tc>
          <w:tcPr>
            <w:tcW w:w="130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Карусели   </w:t>
            </w:r>
          </w:p>
        </w:tc>
        <w:tc>
          <w:tcPr>
            <w:tcW w:w="628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Не менее 2 м в стороны от боковых конструкций и не менее 3 м</w:t>
            </w:r>
            <w:r w:rsidRPr="00E875F3">
              <w:rPr>
                <w:rFonts w:ascii="Tahoma" w:eastAsia="Times New Roman" w:hAnsi="Tahoma" w:cs="Tahoma"/>
                <w:color w:val="2C2C2C"/>
                <w:sz w:val="20"/>
                <w:szCs w:val="20"/>
                <w:lang w:eastAsia="ru-RU"/>
              </w:rPr>
              <w:br/>
              <w:t>вверх от нижней вращающейся поверхности карусели           </w:t>
            </w:r>
          </w:p>
        </w:tc>
      </w:tr>
      <w:tr w:rsidR="00E875F3" w:rsidRPr="00E875F3" w:rsidTr="00E875F3">
        <w:trPr>
          <w:tblCellSpacing w:w="0" w:type="dxa"/>
        </w:trPr>
        <w:tc>
          <w:tcPr>
            <w:tcW w:w="130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Горки      </w:t>
            </w:r>
          </w:p>
        </w:tc>
        <w:tc>
          <w:tcPr>
            <w:tcW w:w="6288" w:type="dxa"/>
            <w:tcBorders>
              <w:top w:val="outset" w:sz="6" w:space="0" w:color="auto"/>
              <w:left w:val="outset" w:sz="6" w:space="0" w:color="auto"/>
              <w:bottom w:val="outset" w:sz="6" w:space="0" w:color="auto"/>
              <w:right w:val="outset" w:sz="6" w:space="0" w:color="auto"/>
            </w:tcBorders>
            <w:shd w:val="clear" w:color="auto" w:fill="FFFFFF"/>
            <w:hideMark/>
          </w:tcPr>
          <w:p w:rsidR="00E875F3" w:rsidRPr="00E875F3" w:rsidRDefault="00E875F3" w:rsidP="00E875F3">
            <w:pPr>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Не менее 1 м от боковых сторон и 2 м вперед от нижнего  края</w:t>
            </w:r>
            <w:r w:rsidRPr="00E875F3">
              <w:rPr>
                <w:rFonts w:ascii="Tahoma" w:eastAsia="Times New Roman" w:hAnsi="Tahoma" w:cs="Tahoma"/>
                <w:color w:val="2C2C2C"/>
                <w:sz w:val="20"/>
                <w:szCs w:val="20"/>
                <w:lang w:eastAsia="ru-RU"/>
              </w:rPr>
              <w:br/>
              <w:t>ската горки                                                </w:t>
            </w:r>
          </w:p>
        </w:tc>
      </w:tr>
    </w:tbl>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5.4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песком, спортивных игр.</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5.5 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1 - 1,5 м с покрытием иной фактуры. Спортивные площадки могут опоясываться ориентационной полосой, имеющей, начиная от края площадки, постепенно повышающийся уклон под углом 10 - 12°. Ширина полосы должна быть не менее 1,5 м. В этом случае фактуры покрытия полосы и площадки могут быть одинаковыми.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5.11. Оборудование детских игровых площадок должно быть окрашено в яркие цвета и размещено так, чтобы оно контрастировало с окружающим фоном.</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5.12 В темное время суток детские игровые площадки должны быть освещены электроприборами.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6. КОНТРОЛЬ И ТЕХНИЧЕСКОЕ ОБСЛУЖИВАНИЕ ДЕТСКИХ</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И СПОРТИВНЫХ ПЛОЩАДОК</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6.1. Оборудование детских и спортивных площадок (далее - оборудование), находящееся на обслуживании, подлежит техническому обслуживанию и контролю за состоянием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6.2. Контроль оборудования и его частей должен производиться следующим образом:</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а) регулярный визуальный осмотр;</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lastRenderedPageBreak/>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б) функциональный осмотр;</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Функциональный осмотр предусматривает детальный осмотр с целью проверки прочности и устойчивости оборудования, особенно в отношении его износа. Данный осмотр должен проводиться один раз в три месяца, но не реже предусмотренного инструкцией изготовителя. Особое внимание при данном осмотре должно уделять скрытым и труднодоступным элементам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в) ежегодный основной осмотр;</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6.3.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jc w:val="center"/>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 ЭКСПЛУАТАЦИЯ ДЕТСКИХ ИГРОВЫХ ПЛОЩАДОК</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 </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7.1. Оценка мер безопасности.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Организация, обслуживающая оборудование, должна:</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7.1.1. Регулярно, но не менее одного раза в год, оценивать эффективность мероприятий по обеспечению безопасности (включая требования, приведенные в настоящем Положении).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7.1.2.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7.2. Документация.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При проведении работ, предусмотренных в рамках управления безопасностью, вся информация должна быть задокументирована.</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Документация на оборудование должна содержать:</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а) акты контроля испытаний (при необходимости);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б) учет технического обслуживания;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в) инструкции по эксплуатации;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г) сведения о ремонте;</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 учет неисправностей при эксплуатации;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е) чертежи и схемы.</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Документация должна быть доступна персоналу во время проведения технического обслуживания, контроля и ремонтных работ.</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lastRenderedPageBreak/>
        <w:t>7.3. Информационное обеспечение безопасности.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На детской игровой площадке должна быть предусмотрена табличка (пиктограмма) с указанием возраста детей, для которых она предназначена.</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7.4. Эксплуатация.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на площадке разместить информацию с предупреждением о неисправности либо прекратить эксплуатацию оборудования, например, путем демонтажа, прекращения работы.</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7.5. Техническое обслуживание.</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Для сокращения числа несчастных случаев обслуживающая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а также дефектов и повреждений.</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Техническое обслуживание оборудования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а) проверку и подтягивание креплений;</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б) обновление окраски и уход за поверхностями;</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в) смазку шарниров;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г) чистоту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д) чистоту покрытий (удаление битого стекла, камней и других посторонних предметов);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е) профилактический осмотр свободных пространств.</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7.6. Профилактические ремонтные работы.</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детских игровых площадок.</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Эти меры должны включать:</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а) замену крепежных деталей;</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б) сварку и резку;</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в) замену изношенных или дефектных деталей;</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г) замену неисправных элементов оборудования.</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7.7. Санитарное содержание.</w:t>
      </w:r>
    </w:p>
    <w:p w:rsidR="00E875F3" w:rsidRPr="00E875F3" w:rsidRDefault="00E875F3" w:rsidP="00E875F3">
      <w:pPr>
        <w:shd w:val="clear" w:color="auto" w:fill="FFFFFF"/>
        <w:spacing w:after="96" w:line="240" w:lineRule="auto"/>
        <w:ind w:firstLine="0"/>
        <w:rPr>
          <w:rFonts w:ascii="Tahoma" w:eastAsia="Times New Roman" w:hAnsi="Tahoma" w:cs="Tahoma"/>
          <w:color w:val="2C2C2C"/>
          <w:sz w:val="20"/>
          <w:szCs w:val="20"/>
          <w:lang w:eastAsia="ru-RU"/>
        </w:rPr>
      </w:pPr>
      <w:r w:rsidRPr="00E875F3">
        <w:rPr>
          <w:rFonts w:ascii="Tahoma" w:eastAsia="Times New Roman" w:hAnsi="Tahoma" w:cs="Tahoma"/>
          <w:color w:val="2C2C2C"/>
          <w:sz w:val="20"/>
          <w:szCs w:val="20"/>
          <w:lang w:eastAsia="ru-RU"/>
        </w:rPr>
        <w:t>Организация, эксплуатирующая оборудование, должна осуществлять ежедневный контроль за санитарным содержанием детских и спортивных площадок, поддерживать надлежащее санитарное состояние.</w:t>
      </w:r>
    </w:p>
    <w:p w:rsidR="003E0016" w:rsidRPr="0076220F" w:rsidRDefault="003E0016" w:rsidP="0076220F">
      <w:bookmarkStart w:id="0" w:name="_GoBack"/>
      <w:bookmarkEnd w:id="0"/>
    </w:p>
    <w:sectPr w:rsidR="003E0016" w:rsidRPr="0076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C85"/>
    <w:multiLevelType w:val="multilevel"/>
    <w:tmpl w:val="EE54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876A0"/>
    <w:multiLevelType w:val="multilevel"/>
    <w:tmpl w:val="5C00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092176"/>
    <w:rsid w:val="001011E1"/>
    <w:rsid w:val="001239A2"/>
    <w:rsid w:val="00130B98"/>
    <w:rsid w:val="00165E97"/>
    <w:rsid w:val="00217B05"/>
    <w:rsid w:val="00227B2E"/>
    <w:rsid w:val="002867D2"/>
    <w:rsid w:val="002966F1"/>
    <w:rsid w:val="003404F4"/>
    <w:rsid w:val="00342B07"/>
    <w:rsid w:val="003A7398"/>
    <w:rsid w:val="003D07C3"/>
    <w:rsid w:val="003E0016"/>
    <w:rsid w:val="003E7724"/>
    <w:rsid w:val="00437481"/>
    <w:rsid w:val="00467A01"/>
    <w:rsid w:val="004B30AB"/>
    <w:rsid w:val="004E562C"/>
    <w:rsid w:val="00574E30"/>
    <w:rsid w:val="00590F08"/>
    <w:rsid w:val="00594EA1"/>
    <w:rsid w:val="005B5246"/>
    <w:rsid w:val="00632B50"/>
    <w:rsid w:val="006569CD"/>
    <w:rsid w:val="00675233"/>
    <w:rsid w:val="0068082D"/>
    <w:rsid w:val="006E611C"/>
    <w:rsid w:val="0075730D"/>
    <w:rsid w:val="0076220F"/>
    <w:rsid w:val="00763F60"/>
    <w:rsid w:val="007D74F0"/>
    <w:rsid w:val="00867EAC"/>
    <w:rsid w:val="008A140B"/>
    <w:rsid w:val="008A440B"/>
    <w:rsid w:val="008A4A78"/>
    <w:rsid w:val="00923356"/>
    <w:rsid w:val="00926DB1"/>
    <w:rsid w:val="00956FA6"/>
    <w:rsid w:val="00974538"/>
    <w:rsid w:val="009D1D71"/>
    <w:rsid w:val="009E2B60"/>
    <w:rsid w:val="00A149A4"/>
    <w:rsid w:val="00A55E23"/>
    <w:rsid w:val="00A7527E"/>
    <w:rsid w:val="00AC2F1D"/>
    <w:rsid w:val="00AD00BD"/>
    <w:rsid w:val="00B441E0"/>
    <w:rsid w:val="00B725BC"/>
    <w:rsid w:val="00BB27B3"/>
    <w:rsid w:val="00C2086F"/>
    <w:rsid w:val="00C213CA"/>
    <w:rsid w:val="00C9581F"/>
    <w:rsid w:val="00CC6527"/>
    <w:rsid w:val="00D11E57"/>
    <w:rsid w:val="00D2502A"/>
    <w:rsid w:val="00D30867"/>
    <w:rsid w:val="00D705AD"/>
    <w:rsid w:val="00DA5884"/>
    <w:rsid w:val="00DD07B8"/>
    <w:rsid w:val="00DD34AC"/>
    <w:rsid w:val="00E2508D"/>
    <w:rsid w:val="00E875F3"/>
    <w:rsid w:val="00EC30FE"/>
    <w:rsid w:val="00ED02B5"/>
    <w:rsid w:val="00EE70DB"/>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594EA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594EA1"/>
    <w:rPr>
      <w:rFonts w:ascii="Times New Roman" w:eastAsia="Times New Roman" w:hAnsi="Times New Roman" w:cs="Times New Roman"/>
      <w:b/>
      <w:bCs/>
      <w:kern w:val="36"/>
      <w:sz w:val="48"/>
      <w:szCs w:val="48"/>
      <w:lang w:eastAsia="ru-RU"/>
    </w:rPr>
  </w:style>
  <w:style w:type="paragraph" w:customStyle="1" w:styleId="listparagraph">
    <w:name w:val="listparagraph"/>
    <w:basedOn w:val="a"/>
    <w:rsid w:val="00956FA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BB27B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cell">
    <w:name w:val="conspluscell"/>
    <w:basedOn w:val="a"/>
    <w:rsid w:val="00E875F3"/>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735">
      <w:bodyDiv w:val="1"/>
      <w:marLeft w:val="0"/>
      <w:marRight w:val="0"/>
      <w:marTop w:val="0"/>
      <w:marBottom w:val="0"/>
      <w:divBdr>
        <w:top w:val="none" w:sz="0" w:space="0" w:color="auto"/>
        <w:left w:val="none" w:sz="0" w:space="0" w:color="auto"/>
        <w:bottom w:val="none" w:sz="0" w:space="0" w:color="auto"/>
        <w:right w:val="none" w:sz="0" w:space="0" w:color="auto"/>
      </w:divBdr>
    </w:div>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194739316">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258291379">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51539839">
      <w:bodyDiv w:val="1"/>
      <w:marLeft w:val="0"/>
      <w:marRight w:val="0"/>
      <w:marTop w:val="0"/>
      <w:marBottom w:val="0"/>
      <w:divBdr>
        <w:top w:val="none" w:sz="0" w:space="0" w:color="auto"/>
        <w:left w:val="none" w:sz="0" w:space="0" w:color="auto"/>
        <w:bottom w:val="none" w:sz="0" w:space="0" w:color="auto"/>
        <w:right w:val="none" w:sz="0" w:space="0" w:color="auto"/>
      </w:divBdr>
    </w:div>
    <w:div w:id="357198206">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462777517">
      <w:bodyDiv w:val="1"/>
      <w:marLeft w:val="0"/>
      <w:marRight w:val="0"/>
      <w:marTop w:val="0"/>
      <w:marBottom w:val="0"/>
      <w:divBdr>
        <w:top w:val="none" w:sz="0" w:space="0" w:color="auto"/>
        <w:left w:val="none" w:sz="0" w:space="0" w:color="auto"/>
        <w:bottom w:val="none" w:sz="0" w:space="0" w:color="auto"/>
        <w:right w:val="none" w:sz="0" w:space="0" w:color="auto"/>
      </w:divBdr>
    </w:div>
    <w:div w:id="55883245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576283206">
      <w:bodyDiv w:val="1"/>
      <w:marLeft w:val="0"/>
      <w:marRight w:val="0"/>
      <w:marTop w:val="0"/>
      <w:marBottom w:val="0"/>
      <w:divBdr>
        <w:top w:val="none" w:sz="0" w:space="0" w:color="auto"/>
        <w:left w:val="none" w:sz="0" w:space="0" w:color="auto"/>
        <w:bottom w:val="none" w:sz="0" w:space="0" w:color="auto"/>
        <w:right w:val="none" w:sz="0" w:space="0" w:color="auto"/>
      </w:divBdr>
    </w:div>
    <w:div w:id="649360228">
      <w:bodyDiv w:val="1"/>
      <w:marLeft w:val="0"/>
      <w:marRight w:val="0"/>
      <w:marTop w:val="0"/>
      <w:marBottom w:val="0"/>
      <w:divBdr>
        <w:top w:val="none" w:sz="0" w:space="0" w:color="auto"/>
        <w:left w:val="none" w:sz="0" w:space="0" w:color="auto"/>
        <w:bottom w:val="none" w:sz="0" w:space="0" w:color="auto"/>
        <w:right w:val="none" w:sz="0" w:space="0" w:color="auto"/>
      </w:divBdr>
    </w:div>
    <w:div w:id="723287701">
      <w:bodyDiv w:val="1"/>
      <w:marLeft w:val="0"/>
      <w:marRight w:val="0"/>
      <w:marTop w:val="0"/>
      <w:marBottom w:val="0"/>
      <w:divBdr>
        <w:top w:val="none" w:sz="0" w:space="0" w:color="auto"/>
        <w:left w:val="none" w:sz="0" w:space="0" w:color="auto"/>
        <w:bottom w:val="none" w:sz="0" w:space="0" w:color="auto"/>
        <w:right w:val="none" w:sz="0" w:space="0" w:color="auto"/>
      </w:divBdr>
    </w:div>
    <w:div w:id="807091698">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25134986">
      <w:bodyDiv w:val="1"/>
      <w:marLeft w:val="0"/>
      <w:marRight w:val="0"/>
      <w:marTop w:val="0"/>
      <w:marBottom w:val="0"/>
      <w:divBdr>
        <w:top w:val="none" w:sz="0" w:space="0" w:color="auto"/>
        <w:left w:val="none" w:sz="0" w:space="0" w:color="auto"/>
        <w:bottom w:val="none" w:sz="0" w:space="0" w:color="auto"/>
        <w:right w:val="none" w:sz="0" w:space="0" w:color="auto"/>
      </w:divBdr>
    </w:div>
    <w:div w:id="1031029963">
      <w:bodyDiv w:val="1"/>
      <w:marLeft w:val="0"/>
      <w:marRight w:val="0"/>
      <w:marTop w:val="0"/>
      <w:marBottom w:val="0"/>
      <w:divBdr>
        <w:top w:val="none" w:sz="0" w:space="0" w:color="auto"/>
        <w:left w:val="none" w:sz="0" w:space="0" w:color="auto"/>
        <w:bottom w:val="none" w:sz="0" w:space="0" w:color="auto"/>
        <w:right w:val="none" w:sz="0" w:space="0" w:color="auto"/>
      </w:divBdr>
    </w:div>
    <w:div w:id="1034692300">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195536386">
      <w:bodyDiv w:val="1"/>
      <w:marLeft w:val="0"/>
      <w:marRight w:val="0"/>
      <w:marTop w:val="0"/>
      <w:marBottom w:val="0"/>
      <w:divBdr>
        <w:top w:val="none" w:sz="0" w:space="0" w:color="auto"/>
        <w:left w:val="none" w:sz="0" w:space="0" w:color="auto"/>
        <w:bottom w:val="none" w:sz="0" w:space="0" w:color="auto"/>
        <w:right w:val="none" w:sz="0" w:space="0" w:color="auto"/>
      </w:divBdr>
    </w:div>
    <w:div w:id="1261641518">
      <w:bodyDiv w:val="1"/>
      <w:marLeft w:val="0"/>
      <w:marRight w:val="0"/>
      <w:marTop w:val="0"/>
      <w:marBottom w:val="0"/>
      <w:divBdr>
        <w:top w:val="none" w:sz="0" w:space="0" w:color="auto"/>
        <w:left w:val="none" w:sz="0" w:space="0" w:color="auto"/>
        <w:bottom w:val="none" w:sz="0" w:space="0" w:color="auto"/>
        <w:right w:val="none" w:sz="0" w:space="0" w:color="auto"/>
      </w:divBdr>
    </w:div>
    <w:div w:id="1262027550">
      <w:bodyDiv w:val="1"/>
      <w:marLeft w:val="0"/>
      <w:marRight w:val="0"/>
      <w:marTop w:val="0"/>
      <w:marBottom w:val="0"/>
      <w:divBdr>
        <w:top w:val="none" w:sz="0" w:space="0" w:color="auto"/>
        <w:left w:val="none" w:sz="0" w:space="0" w:color="auto"/>
        <w:bottom w:val="none" w:sz="0" w:space="0" w:color="auto"/>
        <w:right w:val="none" w:sz="0" w:space="0" w:color="auto"/>
      </w:divBdr>
    </w:div>
    <w:div w:id="1263151756">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400592534">
      <w:bodyDiv w:val="1"/>
      <w:marLeft w:val="0"/>
      <w:marRight w:val="0"/>
      <w:marTop w:val="0"/>
      <w:marBottom w:val="0"/>
      <w:divBdr>
        <w:top w:val="none" w:sz="0" w:space="0" w:color="auto"/>
        <w:left w:val="none" w:sz="0" w:space="0" w:color="auto"/>
        <w:bottom w:val="none" w:sz="0" w:space="0" w:color="auto"/>
        <w:right w:val="none" w:sz="0" w:space="0" w:color="auto"/>
      </w:divBdr>
    </w:div>
    <w:div w:id="1434088832">
      <w:bodyDiv w:val="1"/>
      <w:marLeft w:val="0"/>
      <w:marRight w:val="0"/>
      <w:marTop w:val="0"/>
      <w:marBottom w:val="0"/>
      <w:divBdr>
        <w:top w:val="none" w:sz="0" w:space="0" w:color="auto"/>
        <w:left w:val="none" w:sz="0" w:space="0" w:color="auto"/>
        <w:bottom w:val="none" w:sz="0" w:space="0" w:color="auto"/>
        <w:right w:val="none" w:sz="0" w:space="0" w:color="auto"/>
      </w:divBdr>
    </w:div>
    <w:div w:id="1474980779">
      <w:bodyDiv w:val="1"/>
      <w:marLeft w:val="0"/>
      <w:marRight w:val="0"/>
      <w:marTop w:val="0"/>
      <w:marBottom w:val="0"/>
      <w:divBdr>
        <w:top w:val="none" w:sz="0" w:space="0" w:color="auto"/>
        <w:left w:val="none" w:sz="0" w:space="0" w:color="auto"/>
        <w:bottom w:val="none" w:sz="0" w:space="0" w:color="auto"/>
        <w:right w:val="none" w:sz="0" w:space="0" w:color="auto"/>
      </w:divBdr>
    </w:div>
    <w:div w:id="1528788806">
      <w:bodyDiv w:val="1"/>
      <w:marLeft w:val="0"/>
      <w:marRight w:val="0"/>
      <w:marTop w:val="0"/>
      <w:marBottom w:val="0"/>
      <w:divBdr>
        <w:top w:val="none" w:sz="0" w:space="0" w:color="auto"/>
        <w:left w:val="none" w:sz="0" w:space="0" w:color="auto"/>
        <w:bottom w:val="none" w:sz="0" w:space="0" w:color="auto"/>
        <w:right w:val="none" w:sz="0" w:space="0" w:color="auto"/>
      </w:divBdr>
    </w:div>
    <w:div w:id="1539396703">
      <w:bodyDiv w:val="1"/>
      <w:marLeft w:val="0"/>
      <w:marRight w:val="0"/>
      <w:marTop w:val="0"/>
      <w:marBottom w:val="0"/>
      <w:divBdr>
        <w:top w:val="none" w:sz="0" w:space="0" w:color="auto"/>
        <w:left w:val="none" w:sz="0" w:space="0" w:color="auto"/>
        <w:bottom w:val="none" w:sz="0" w:space="0" w:color="auto"/>
        <w:right w:val="none" w:sz="0" w:space="0" w:color="auto"/>
      </w:divBdr>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547988692">
      <w:bodyDiv w:val="1"/>
      <w:marLeft w:val="0"/>
      <w:marRight w:val="0"/>
      <w:marTop w:val="0"/>
      <w:marBottom w:val="0"/>
      <w:divBdr>
        <w:top w:val="none" w:sz="0" w:space="0" w:color="auto"/>
        <w:left w:val="none" w:sz="0" w:space="0" w:color="auto"/>
        <w:bottom w:val="none" w:sz="0" w:space="0" w:color="auto"/>
        <w:right w:val="none" w:sz="0" w:space="0" w:color="auto"/>
      </w:divBdr>
    </w:div>
    <w:div w:id="1563712147">
      <w:bodyDiv w:val="1"/>
      <w:marLeft w:val="0"/>
      <w:marRight w:val="0"/>
      <w:marTop w:val="0"/>
      <w:marBottom w:val="0"/>
      <w:divBdr>
        <w:top w:val="none" w:sz="0" w:space="0" w:color="auto"/>
        <w:left w:val="none" w:sz="0" w:space="0" w:color="auto"/>
        <w:bottom w:val="none" w:sz="0" w:space="0" w:color="auto"/>
        <w:right w:val="none" w:sz="0" w:space="0" w:color="auto"/>
      </w:divBdr>
    </w:div>
    <w:div w:id="1603608399">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16978815">
      <w:bodyDiv w:val="1"/>
      <w:marLeft w:val="0"/>
      <w:marRight w:val="0"/>
      <w:marTop w:val="0"/>
      <w:marBottom w:val="0"/>
      <w:divBdr>
        <w:top w:val="none" w:sz="0" w:space="0" w:color="auto"/>
        <w:left w:val="none" w:sz="0" w:space="0" w:color="auto"/>
        <w:bottom w:val="none" w:sz="0" w:space="0" w:color="auto"/>
        <w:right w:val="none" w:sz="0" w:space="0" w:color="auto"/>
      </w:divBdr>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768236412">
      <w:bodyDiv w:val="1"/>
      <w:marLeft w:val="0"/>
      <w:marRight w:val="0"/>
      <w:marTop w:val="0"/>
      <w:marBottom w:val="0"/>
      <w:divBdr>
        <w:top w:val="none" w:sz="0" w:space="0" w:color="auto"/>
        <w:left w:val="none" w:sz="0" w:space="0" w:color="auto"/>
        <w:bottom w:val="none" w:sz="0" w:space="0" w:color="auto"/>
        <w:right w:val="none" w:sz="0" w:space="0" w:color="auto"/>
      </w:divBdr>
    </w:div>
    <w:div w:id="1776706807">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1217238">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38422980">
      <w:bodyDiv w:val="1"/>
      <w:marLeft w:val="0"/>
      <w:marRight w:val="0"/>
      <w:marTop w:val="0"/>
      <w:marBottom w:val="0"/>
      <w:divBdr>
        <w:top w:val="none" w:sz="0" w:space="0" w:color="auto"/>
        <w:left w:val="none" w:sz="0" w:space="0" w:color="auto"/>
        <w:bottom w:val="none" w:sz="0" w:space="0" w:color="auto"/>
        <w:right w:val="none" w:sz="0" w:space="0" w:color="auto"/>
      </w:divBdr>
    </w:div>
    <w:div w:id="1862743239">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27306383">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38253204">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 w:id="1991858833">
      <w:bodyDiv w:val="1"/>
      <w:marLeft w:val="0"/>
      <w:marRight w:val="0"/>
      <w:marTop w:val="0"/>
      <w:marBottom w:val="0"/>
      <w:divBdr>
        <w:top w:val="none" w:sz="0" w:space="0" w:color="auto"/>
        <w:left w:val="none" w:sz="0" w:space="0" w:color="auto"/>
        <w:bottom w:val="none" w:sz="0" w:space="0" w:color="auto"/>
        <w:right w:val="none" w:sz="0" w:space="0" w:color="auto"/>
      </w:divBdr>
    </w:div>
    <w:div w:id="2027711114">
      <w:bodyDiv w:val="1"/>
      <w:marLeft w:val="0"/>
      <w:marRight w:val="0"/>
      <w:marTop w:val="0"/>
      <w:marBottom w:val="0"/>
      <w:divBdr>
        <w:top w:val="none" w:sz="0" w:space="0" w:color="auto"/>
        <w:left w:val="none" w:sz="0" w:space="0" w:color="auto"/>
        <w:bottom w:val="none" w:sz="0" w:space="0" w:color="auto"/>
        <w:right w:val="none" w:sz="0" w:space="0" w:color="auto"/>
      </w:divBdr>
    </w:div>
    <w:div w:id="2029208867">
      <w:bodyDiv w:val="1"/>
      <w:marLeft w:val="0"/>
      <w:marRight w:val="0"/>
      <w:marTop w:val="0"/>
      <w:marBottom w:val="0"/>
      <w:divBdr>
        <w:top w:val="none" w:sz="0" w:space="0" w:color="auto"/>
        <w:left w:val="none" w:sz="0" w:space="0" w:color="auto"/>
        <w:bottom w:val="none" w:sz="0" w:space="0" w:color="auto"/>
        <w:right w:val="none" w:sz="0" w:space="0" w:color="auto"/>
      </w:divBdr>
    </w:div>
    <w:div w:id="20744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68</cp:revision>
  <dcterms:created xsi:type="dcterms:W3CDTF">2022-10-21T04:13:00Z</dcterms:created>
  <dcterms:modified xsi:type="dcterms:W3CDTF">2022-10-21T05:45:00Z</dcterms:modified>
</cp:coreProperties>
</file>