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>
        <w:rPr>
          <w:rFonts w:ascii="Arial" w:hAnsi="Arial" w:cs="Arial"/>
        </w:rPr>
        <w:t>__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________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9A45B5">
        <w:rPr>
          <w:rFonts w:ascii="Arial" w:hAnsi="Arial" w:cs="Arial"/>
        </w:rPr>
        <w:t>№</w:t>
      </w:r>
      <w:r>
        <w:rPr>
          <w:rFonts w:ascii="Arial" w:hAnsi="Arial" w:cs="Arial"/>
        </w:rPr>
        <w:t>_______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747F58">
        <w:rPr>
          <w:rFonts w:ascii="Arial" w:hAnsi="Arial" w:cs="Arial"/>
          <w:b/>
          <w:bCs/>
          <w:sz w:val="32"/>
          <w:szCs w:val="32"/>
        </w:rPr>
        <w:t xml:space="preserve">ЖИЛИЩНОГО </w:t>
      </w:r>
      <w:r w:rsidR="00CE3EC4">
        <w:rPr>
          <w:rFonts w:ascii="Arial" w:hAnsi="Arial" w:cs="Arial"/>
          <w:b/>
          <w:bCs/>
          <w:sz w:val="32"/>
          <w:szCs w:val="32"/>
        </w:rPr>
        <w:t>КОНТРОЛЯ В ОЕКСКОМ МУНИЦИПАЛЬНОМ ОБРАЗОВАНИИ</w:t>
      </w:r>
    </w:p>
    <w:p w:rsidR="00016B8B" w:rsidRPr="00AB7117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:rsidR="00AB7117" w:rsidRPr="00AB7117" w:rsidRDefault="00AB7117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B427DB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B427DB" w:rsidRDefault="00016B8B" w:rsidP="00016B8B">
      <w:pPr>
        <w:ind w:firstLine="709"/>
        <w:jc w:val="center"/>
        <w:rPr>
          <w:rFonts w:ascii="Arial" w:hAnsi="Arial" w:cs="Arial"/>
          <w:b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 xml:space="preserve">ключевые показатели, их целевые значения и индикативные показатели муниципального </w:t>
      </w:r>
      <w:r w:rsidR="00747F58">
        <w:rPr>
          <w:rFonts w:ascii="Arial" w:hAnsi="Arial" w:cs="Arial"/>
          <w:color w:val="000000"/>
        </w:rPr>
        <w:t xml:space="preserve">жилищного </w:t>
      </w:r>
      <w:r w:rsidR="00CE3EC4">
        <w:rPr>
          <w:rFonts w:ascii="Arial" w:hAnsi="Arial" w:cs="Arial"/>
          <w:color w:val="000000"/>
        </w:rPr>
        <w:t xml:space="preserve">контроля в Оекском муниципальном </w:t>
      </w:r>
      <w:proofErr w:type="gramStart"/>
      <w:r w:rsidR="00CE3EC4">
        <w:rPr>
          <w:rFonts w:ascii="Arial" w:hAnsi="Arial" w:cs="Arial"/>
          <w:color w:val="000000"/>
        </w:rPr>
        <w:t xml:space="preserve">образовании  </w:t>
      </w:r>
      <w:r w:rsidRPr="00EE0520">
        <w:rPr>
          <w:rFonts w:ascii="Arial" w:hAnsi="Arial" w:cs="Arial"/>
          <w:kern w:val="2"/>
        </w:rPr>
        <w:t>(</w:t>
      </w:r>
      <w:proofErr w:type="gramEnd"/>
      <w:r w:rsidRPr="00EE0520">
        <w:rPr>
          <w:rFonts w:ascii="Arial" w:hAnsi="Arial" w:cs="Arial"/>
          <w:kern w:val="2"/>
        </w:rPr>
        <w:t>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9A5082" w:rsidRPr="00EE0520" w:rsidRDefault="009A5082" w:rsidP="00016B8B">
      <w:pPr>
        <w:jc w:val="both"/>
        <w:rPr>
          <w:rFonts w:ascii="Arial" w:hAnsi="Arial" w:cs="Arial"/>
          <w:sz w:val="22"/>
          <w:szCs w:val="22"/>
        </w:rPr>
      </w:pPr>
    </w:p>
    <w:p w:rsidR="00AB7117" w:rsidRDefault="009A5082" w:rsidP="009A50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AB7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Оекского </w:t>
      </w:r>
    </w:p>
    <w:p w:rsidR="009A5082" w:rsidRDefault="009A5082" w:rsidP="009A5082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муниципального образования                                                </w:t>
      </w:r>
    </w:p>
    <w:p w:rsidR="009A5082" w:rsidRDefault="009A5082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040FDC">
          <w:headerReference w:type="default" r:id="rId10"/>
          <w:pgSz w:w="11906" w:h="16838"/>
          <w:pgMar w:top="709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proofErr w:type="spellStart"/>
      <w:r w:rsidRPr="00B427DB">
        <w:rPr>
          <w:rFonts w:ascii="Arial" w:hAnsi="Arial" w:cs="Arial"/>
        </w:rPr>
        <w:t>О.А.Парфенов</w:t>
      </w:r>
      <w:proofErr w:type="spellEnd"/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__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________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CE3EC4" w:rsidRPr="00747F58">
        <w:rPr>
          <w:rFonts w:ascii="Courier New" w:hAnsi="Courier New" w:cs="Courier New"/>
          <w:sz w:val="22"/>
          <w:szCs w:val="22"/>
        </w:rPr>
        <w:t>2</w:t>
      </w:r>
      <w:r w:rsidR="00617B63">
        <w:rPr>
          <w:rFonts w:ascii="Courier New" w:hAnsi="Courier New" w:cs="Courier New"/>
          <w:sz w:val="22"/>
          <w:szCs w:val="22"/>
        </w:rPr>
        <w:t>2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____</w:t>
      </w:r>
      <w:r w:rsidRPr="003921E7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3921E7">
        <w:rPr>
          <w:rFonts w:ascii="Courier New" w:hAnsi="Courier New" w:cs="Courier New"/>
          <w:sz w:val="22"/>
          <w:szCs w:val="22"/>
        </w:rPr>
        <w:t>сп</w:t>
      </w:r>
      <w:proofErr w:type="spellEnd"/>
    </w:p>
    <w:tbl>
      <w:tblPr>
        <w:tblStyle w:val="a6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4571"/>
      </w:tblGrid>
      <w:tr w:rsidR="00016B8B" w:rsidRPr="005C5156" w:rsidTr="009E6658">
        <w:trPr>
          <w:trHeight w:val="275"/>
        </w:trPr>
        <w:tc>
          <w:tcPr>
            <w:tcW w:w="5150" w:type="dxa"/>
          </w:tcPr>
          <w:p w:rsidR="00016B8B" w:rsidRPr="005C5156" w:rsidRDefault="00016B8B" w:rsidP="00E4264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</w:tcPr>
          <w:p w:rsidR="00016B8B" w:rsidRPr="005C5156" w:rsidRDefault="00016B8B" w:rsidP="00E4264E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E6658" w:rsidRDefault="009E6658" w:rsidP="009E665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ЖИЛИЩНОГО КОНТРОЛЯ В ОЕКСКОМ МУНИЦИПАЛЬНОМ ОБРАЗОВАНИИ</w:t>
      </w:r>
    </w:p>
    <w:p w:rsidR="009E6658" w:rsidRDefault="009E6658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65690" w:rsidRPr="00747F58" w:rsidRDefault="00C65690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8"/>
        <w:gridCol w:w="2465"/>
      </w:tblGrid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00644E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00644E">
              <w:rPr>
                <w:rFonts w:ascii="Courier New" w:hAnsi="Courier New" w:cs="Courier New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C65690" w:rsidRPr="0000644E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00644E">
              <w:rPr>
                <w:rFonts w:ascii="Courier New" w:hAnsi="Courier New" w:cs="Courier New"/>
              </w:rPr>
              <w:t>Целевые значения (%)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333BB5" w:rsidRDefault="00CE3EC4" w:rsidP="00C65690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6F550F" w:rsidRPr="0000644E" w:rsidRDefault="006F550F" w:rsidP="006F550F">
      <w:pPr>
        <w:jc w:val="both"/>
        <w:rPr>
          <w:rFonts w:ascii="Arial" w:hAnsi="Arial" w:cs="Arial"/>
        </w:rPr>
      </w:pPr>
    </w:p>
    <w:p w:rsidR="006F550F" w:rsidRPr="004D50FD" w:rsidRDefault="006F550F" w:rsidP="006F55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C65690" w:rsidRPr="00C65690" w:rsidRDefault="00C65690" w:rsidP="00C65690">
      <w:pPr>
        <w:ind w:firstLine="708"/>
        <w:jc w:val="center"/>
        <w:rPr>
          <w:rFonts w:ascii="Arial" w:hAnsi="Arial" w:cs="Arial"/>
          <w:b/>
        </w:rPr>
      </w:pPr>
    </w:p>
    <w:sectPr w:rsidR="00C65690" w:rsidRPr="00C65690" w:rsidSect="001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D4" w:rsidRDefault="00A833D4" w:rsidP="00B940D4">
      <w:r>
        <w:separator/>
      </w:r>
    </w:p>
  </w:endnote>
  <w:endnote w:type="continuationSeparator" w:id="0">
    <w:p w:rsidR="00A833D4" w:rsidRDefault="00A833D4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D4" w:rsidRDefault="00A833D4" w:rsidP="00B940D4">
      <w:r>
        <w:separator/>
      </w:r>
    </w:p>
  </w:footnote>
  <w:footnote w:type="continuationSeparator" w:id="0">
    <w:p w:rsidR="00A833D4" w:rsidRDefault="00A833D4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0C4135"/>
    <w:rsid w:val="0011452E"/>
    <w:rsid w:val="00125484"/>
    <w:rsid w:val="001608CD"/>
    <w:rsid w:val="00182123"/>
    <w:rsid w:val="001E4928"/>
    <w:rsid w:val="00217063"/>
    <w:rsid w:val="002D7C02"/>
    <w:rsid w:val="00333BB5"/>
    <w:rsid w:val="003E6851"/>
    <w:rsid w:val="004D4439"/>
    <w:rsid w:val="005A6C6E"/>
    <w:rsid w:val="00614F51"/>
    <w:rsid w:val="00617B63"/>
    <w:rsid w:val="006B3A54"/>
    <w:rsid w:val="006F550F"/>
    <w:rsid w:val="00747F58"/>
    <w:rsid w:val="007C277A"/>
    <w:rsid w:val="008258E6"/>
    <w:rsid w:val="008A47F3"/>
    <w:rsid w:val="00904C11"/>
    <w:rsid w:val="00940CE0"/>
    <w:rsid w:val="009A5082"/>
    <w:rsid w:val="009E6658"/>
    <w:rsid w:val="00A833D4"/>
    <w:rsid w:val="00AB7117"/>
    <w:rsid w:val="00AE3ED1"/>
    <w:rsid w:val="00B940D4"/>
    <w:rsid w:val="00C65690"/>
    <w:rsid w:val="00C744E8"/>
    <w:rsid w:val="00CE3EC4"/>
    <w:rsid w:val="00DB32B4"/>
    <w:rsid w:val="00EE0E77"/>
    <w:rsid w:val="00F325D9"/>
    <w:rsid w:val="00F7003E"/>
    <w:rsid w:val="00F73A8C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18FA"/>
  <w15:docId w15:val="{7C1F50E8-A425-4F64-99DB-FF24A60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14</cp:revision>
  <cp:lastPrinted>2021-12-07T00:57:00Z</cp:lastPrinted>
  <dcterms:created xsi:type="dcterms:W3CDTF">2021-12-07T00:54:00Z</dcterms:created>
  <dcterms:modified xsi:type="dcterms:W3CDTF">2022-11-07T02:11:00Z</dcterms:modified>
</cp:coreProperties>
</file>