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D0" w:rsidRDefault="00556ED0" w:rsidP="00556ED0">
      <w:pPr>
        <w:spacing w:line="240" w:lineRule="auto"/>
        <w:ind w:firstLine="0"/>
        <w:jc w:val="left"/>
        <w:rPr>
          <w:sz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ИНФОРМАЦИОННОЕ СООБЩЕНИЕ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 проведении конкурса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Организатор конкурса: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Комитет по управлению муниципальным имуществом и жизнеобеспечению администрации Иркутского районного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Местонахождение: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г. Иркутск, ул. Карла Маркса 40, корп. 1, оф. 432,  адрес электронной почты: ompt@irkraion.ru, контактный телефон: 718-003.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Предмет конкурса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Оказание финансовой поддержки субъектам малого  и среднего  предпринимательства поддержка начинающих – гранты в форме субсидии начинающим на создание собственного бизнеса.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Гранты в форме субсидии предоставляются по результатам конкурсного отбора субъектов малого и среднего предпринимательства - производителей товаров, работ, услуг на условиях долевого финансирования расходов, связанных с созданием собственного бизнеса.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Гранты в форме субсидии предоставляются на создание собственного бизнеса, за исключением расходов на оплату труда работников, налогов, сборов, пеней и пошлин в бюджеты всех уровней и государственные внебюджетные фонды.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Максимальный размер гранта в форме субсидии не превышает 300 тыс. рублей на одного получателя.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Условия участия в конкурсе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 участию в конкурсном отбореприглашаются субъекты малого и среднего предпринимательства, отвечающие следующим условиям: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осуществляют деятельность не более 1 года с момента государственной регистрации на дату подачи заявления о предоставлении субсидии;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 состоят на налоговом учете в территориальном органе Федеральной налоговой службы Российской Федерации Иркутского района;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 осуществляют свою деятельность на территории Иркутского района;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 не имеют задолженности по платежам в бюджеты всех уровней бюджетной системы Российской Федерации и государственные внебюджетные фонды;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 не находятся в процедуре конкурсного производства (в отношении индивидуальных предпринимателей - в процедуре реализации имущества гражданина) и в процессе ликвидации или реорганизации и не признаны в установленном порядке несостоятельным (банкротом);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 прошли краткосрочное обучение в сфере предпринимательской деятельности (прохождение краткосрочного обучения индивидуальным предпринимателем или учредителем (-ями) юридического лица не требуется при наличии диплома о высшем юридическом и (или) экономическом образовании (профильной переподготовки));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 соответствуют требованиям, установленным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статьей 4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Федерального закона от 24.07.2007 № 209-ФЗ «О развитии малого и среднего предпринимательства в Российской Федерации»;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з)  при условии наличия произведенных затрат, связанных с созданием и организацией деятельности собственного бизнеса, в размере не менее 15 процентов от запрашиваемого размера гранта в форме субсидии.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Место подачи заявок для участия в конкурсе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г. Иркутск ул. Карла Маркса 40, корп.1, оф. 432. 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Сроки предоставления конкурсной документации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 «16» октября 2017 г.по «16» ноября 2017 г. в рабочие дни с 10 часов до 16 часов (время местное)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Дата и время начала подачи заявок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«16» октября 2017 г. с 10 часов (время местное)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Дата и время окончания подачи заявок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«16» ноября 2017 г. до 16 часов (время местное)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Заявки, поступившие по истечении указанного срока, приему не подлежат.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Порядок предоставления конкурсной документации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для участия в конкурсе субъекты малого и среднего предпринимательства представляют заявку по утвержденной форме и полный пакет конкурсной документации: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месту подачи заявок: г. Иркутск ул. Карла Маркса 40, корп.1,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оф. 432 – лично или через своего полномочного представителя;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  по почтовому адресу: 664001, г. Иркутск, ул. Рабочего Штаба , д. 17.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Для участия в конкурсном отборе участник конкурсного отбора представляет Организатору конкурса следующие документы: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опись представленных документов, оформленную в произвольной форме в двух экземплярах;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 </w:t>
      </w:r>
      <w:hyperlink r:id="rId5" w:anchor="P1276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заявление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на получение гранта в форме субсидии, заверенное подписью руководителя и печать организации (при наличии печати) по форме в соответствии с Приложением 1 к Положению о порядке оказания финансовой поддержки субъектам малого и среднего предпринимательства поддержка начинающих – гранты начинающим на создание собственного бизнеса, утвержденного постановлением  администрации  Иркутского районного муниципального образования от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13.09.2017 № 368 «Об утверждении Положений о мерах поддержки субъектов малого и среднего предпринимательства и организаций, осуществляющих инфраструктуру поддержки субъектов малого и среднего предпринимательства на территории Иркутского районного муниципального образования» (далее - Положение);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 </w:t>
      </w:r>
      <w:hyperlink r:id="rId6" w:anchor="P403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бизнес-план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 форме в соответствии с Приложением 2 к Положению;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 </w:t>
      </w:r>
      <w:hyperlink r:id="rId7" w:anchor="P606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смету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затрат, оформленную в соответствии с Приложением 3 к Положению, с приложением копий первичных учетных документов (договоров или счетов);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 копии лицензий и (или) разрешений для осуществления деятельности, необходимых для реализации бизнес-плана, заверенные участником конкурса;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 копии документов бухгалтерского учета, отражающих наличие произведенных затрат, связанных с созданием и организацией деятельности собственного бизнеса, с приложением копий первичных документов: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договоры (купли-продажи, выполненных работ, оказанных услуг);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платежные документы - платежное поручение, платежное требование, кассовый, товарный чек, счета-фактуры;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документы, подтверждающие получение (изготовление, выполнение работ, оказание услуг), - товарные (товарно-транспортные) накладные, акты приема-передачи, выполненных работ, оказанных услуг;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 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справку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территориального органа Федеральной налоговой службы Российской Федерации о состоянии расчетов по налогам, сборам, страховым взносам, пеням, штрафам, процентам организаций и индивидуальных предпринимателей согласно Приложению1 к Приказу ФНС России от 28.12.2016 №ММВ-7-17/722@;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з) </w:t>
      </w:r>
      <w:hyperlink r:id="rId9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формы №1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«Бухгалтерский баланс» и </w:t>
      </w:r>
      <w:hyperlink r:id="rId10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№2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«Отчет о прибылях и убытках» и (или) налоговую отчетность, подтверждающую полученные доходы за последний отчетный период, с отметкой налогового органа и заверенные печатью участника конкурса (для юридических лиц);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и) выписку из Единого государственного реестра юридических лиц (индивидуальных предпринимателей), выданную не ранее чем за 30 дней до дня подачи конкурсной заявки, содержащую сведения о виде экономической деятельности в соответствии с </w:t>
      </w:r>
      <w:hyperlink r:id="rId1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ОКВЭД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на который запрашивается грант в форме субсидии;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к) нотариально удостоверенную копию свидетельства о постановке на учет в налоговом органе;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л) заверенную  участником  конкурса копию  договора  аренды на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объект(-ы) недвижимого имущества, предназначенный(-ые) для осуществления деятельности участника конкурса.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Копии правоустанавливающих документов арендодателя или участника конкурса на объекты недвижимого имущества, предназначенного для осуществления деятельности участника конкурса;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м) копию документа, подтверждающего прохождение участником конкурса краткосрочного обучения в сфере предпринимательской деятельности (свидетельство, сертификат), заверенную в установленном законодательством порядке;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н) справку о состоянии расчетов по страховым взносам, пеням и штрафам, выданную территориальным органом Пенсионного фонда Российской Федерации не ранее чем за 30 календарных дней до дня подачи конкурсной заявки;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о) справку о состоянии расчетов по страховым взносам, пеням и штрафам, выданную территориальным органом Фонда социального страхования Российской Федерации не ранее чем за 30 календарных дней до дня подачи конкурсной заявки;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п) заявление по форме, утвержденной приказом Министерства экономического развития Российской Федерации от 10 марта 2016 года № 113 (для вновь созданных юридических лиц и вновь зарегистрированных индивидуальных предпринимателей).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Документы, указанные в </w:t>
      </w:r>
      <w:hyperlink r:id="rId12" w:anchor="P18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подпунктах «а»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- </w:t>
      </w:r>
      <w:hyperlink r:id="rId13" w:anchor="P190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«г»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14" w:anchor="P192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«е»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15" w:anchor="P199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«з»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16" w:anchor="P20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«м»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«п» и </w:t>
      </w:r>
      <w:hyperlink r:id="rId17" w:anchor="P202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абзаце 1 подпункта «л»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(в случае если права на объекты недвижимого имущества не зарегистрированы в Едином государственном реестре прав на недвижимое имущество и сделок с ним), субъекты малого предпринимательства обязаны представить.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Документы, указанные в </w:t>
      </w:r>
      <w:hyperlink r:id="rId18" w:anchor="P19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подпунктах «д»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19" w:anchor="P19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«ж»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20" w:anchor="P200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«и»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21" w:anchor="P20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«к»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22" w:anchor="P206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«н»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hyperlink r:id="rId23" w:anchor="P208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«о»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и </w:t>
      </w:r>
      <w:hyperlink r:id="rId24" w:anchor="P203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абзаце 2 подпункта «л»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(в случае если права на объекты недвижимого имущества зарегистрированы в Едином государственном реестре прав на недвижимое имущество и сделок с ним), субъекты малого и среднего предпринимательства вправе представить. В случае непредставления указанных документов Организатор конкурса запрашивает их в рамках межведомственного взаимодействия.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КРИТЕРИИ ОЦЕНКИ УЧАСТНИКОВ КОНКУРСА</w:t>
      </w:r>
    </w:p>
    <w:tbl>
      <w:tblPr>
        <w:tblW w:w="7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790"/>
        <w:gridCol w:w="1700"/>
        <w:gridCol w:w="1336"/>
        <w:gridCol w:w="1323"/>
      </w:tblGrid>
      <w:tr w:rsidR="00556ED0" w:rsidTr="00556ED0">
        <w:trPr>
          <w:tblCellSpacing w:w="0" w:type="dxa"/>
        </w:trPr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Критерии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Категория заявителей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Баллы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микропре-дприятия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малые предприятия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значение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рабочих мест сохраняемых в течение 12 месяцев со дня получения субсидии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1 до 2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1 до 30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3 до 5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31 до 50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6 до 8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51 до 80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81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hyperlink r:id="rId25" w:anchor="Par91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рабочих мест планируемых к созданию в течение 12 месяцев со дня получения субсидии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 планируется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 планируется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1 до 2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от 1 до 4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3 до 5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5 до 8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6 до 8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9 до 12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 налоговых отчислений и платежей во внебюджетные фонды, планируемых за календарный год со дня получения субсидии, тыс. рублей, предусмотренные бизнес-планом участника конкурсного отбора (тыс. руб.)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менее 50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менее 100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50 до 100 вкл.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100 до 200 вкл.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100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200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Отношение к приоритетной целевой группе: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-зарегистрированные безработные;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- молодые семьи, имеющие детей, в том числе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жители монопрофильных муниципальных образований (моногородов), работники градообразующих предприятий;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физические лица в возрасте до 30 лет (включительно);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- юридические лица, в уставном капитале которых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доля, принадлежащая физическим лицам, указанным в </w:t>
            </w:r>
            <w:hyperlink r:id="rId26" w:anchor="P685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абзацах втором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t> - </w:t>
            </w:r>
            <w:hyperlink r:id="rId27" w:anchor="P700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седьмом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t> настоящего пункта, составляет более 50 процентов;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субъекты малого и среднего предпринимательства, относящиеся к субъектам социального предпринимательства.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hyperlink r:id="rId28" w:anchor="Par91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Приоритетность по удаленности территории муниципального образования (МО) от города Иркутска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Гороховское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Никольское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Ширяевское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Большереченское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Голоустненское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Дзержинское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Карлукское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Листвянское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Максимовское МО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Мамонское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Марковское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Молодежное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Ревякинское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Смоленское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Сосновоборское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Уриковское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Усть-Балейское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Ушаковское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Хомутовское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556ED0" w:rsidTr="00556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Оекское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D0" w:rsidRDefault="00556ED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</w:tbl>
    <w:p w:rsidR="003E0016" w:rsidRPr="002E10B4" w:rsidRDefault="00556ED0" w:rsidP="002E10B4">
      <w:hyperlink r:id="rId29" w:anchor="Par91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  <w:shd w:val="clear" w:color="auto" w:fill="FFFFFF"/>
          </w:rPr>
          <w:t>&lt;*&gt;</w:t>
        </w:r>
      </w:hyperlink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за исключением (минусом) рабочих мест, указанных в пункте 1 таблицы.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hyperlink r:id="rId30" w:anchor="Par91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  <w:shd w:val="clear" w:color="auto" w:fill="FFFFFF"/>
          </w:rPr>
          <w:t>&lt;**&gt;</w:t>
        </w:r>
      </w:hyperlink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проблем, в том числе обеспечивающих выполнение следующих условий: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а) обеспечение занятости инвалидов, матерей, имеющих детей в возрасте до 3 лет, выпускников детских домов,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- не менее 25%;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б) предоставление услуг (производство товаров) в следующих сферах деятельности: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содействие профессиональной ориентации и трудоустройству, включая содействие самозанятости;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обеспечение культурно-просветительской деятельности (театры, школы-студии, музыкальные учреждения, творческие мастерские);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предоставление образовательных услуг группам граждан, имеющим ограниченный доступ к образовательным услугам;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содействие вовлечению в социально активную деятельность социально незащищенных групп граждан (инвалиды, сироты, выпускники детских домов, пожилые люди, люди, страдающие наркоманией и алкоголизмом);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профилактика социально опасных форм поведения граждан;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- выпуск периодических печатных изданий, а также книжной продукции, связанной с образованием, наукой и культурой.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hyperlink r:id="rId31" w:anchor="Par91" w:history="1">
        <w:r>
          <w:rPr>
            <w:rStyle w:val="a6"/>
            <w:rFonts w:ascii="Tahoma" w:hAnsi="Tahoma" w:cs="Tahoma"/>
            <w:b/>
            <w:bCs/>
            <w:color w:val="44A1C7"/>
            <w:sz w:val="20"/>
            <w:szCs w:val="20"/>
            <w:shd w:val="clear" w:color="auto" w:fill="FFFFFF"/>
          </w:rPr>
          <w:t>&lt;***&gt;</w:t>
        </w:r>
      </w:hyperlink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критерий применяется в соответствии с месторасположением реализации бизнес-проекта согласно территориальному делению Иркутского районного муниципального образования.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Место, дата и время рассмотрения конкурсной комиссией  документов и подведения  итогов конкурсного отбора: 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«23» ноября 2017 г.  в 10-00 часов (время местное) по адресу: г. Иркутск, ул. Карла Маркса 40, корп. 1, этаж 2, оф. 17.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 xml:space="preserve">С настоящим извещением и конкурсной документацией можно ознакомиться на 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lastRenderedPageBreak/>
        <w:t>официальном сайте Иркутского районного муниципального образования  www.irkraion.ru.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Председатель КУМИ                                                                            В.В. Чекризов</w:t>
      </w:r>
      <w:bookmarkStart w:id="0" w:name="_GoBack"/>
      <w:bookmarkEnd w:id="0"/>
    </w:p>
    <w:sectPr w:rsidR="003E0016" w:rsidRPr="002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2E10B4"/>
    <w:rsid w:val="003A765F"/>
    <w:rsid w:val="003E0016"/>
    <w:rsid w:val="00491922"/>
    <w:rsid w:val="00556ED0"/>
    <w:rsid w:val="0060666D"/>
    <w:rsid w:val="006675F0"/>
    <w:rsid w:val="006C497E"/>
    <w:rsid w:val="00857835"/>
    <w:rsid w:val="00867013"/>
    <w:rsid w:val="008A140B"/>
    <w:rsid w:val="008A5B9F"/>
    <w:rsid w:val="008E6390"/>
    <w:rsid w:val="00A5461D"/>
    <w:rsid w:val="00AC4CC9"/>
    <w:rsid w:val="00C46FFF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support_businesses/2394-konkurs-na-okazanie-finansovoy-podderzhki-subektam-malogo-i-srednego-predprinimatelstva.html" TargetMode="External"/><Relationship Id="rId18" Type="http://schemas.openxmlformats.org/officeDocument/2006/relationships/hyperlink" Target="http://oek.su/support_businesses/2394-konkurs-na-okazanie-finansovoy-podderzhki-subektam-malogo-i-srednego-predprinimatelstva.html" TargetMode="External"/><Relationship Id="rId26" Type="http://schemas.openxmlformats.org/officeDocument/2006/relationships/hyperlink" Target="http://oek.su/support_businesses/2394-konkurs-na-okazanie-finansovoy-podderzhki-subektam-malogo-i-srednego-predprinimatelstv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ek.su/support_businesses/2394-konkurs-na-okazanie-finansovoy-podderzhki-subektam-malogo-i-srednego-predprinimatelstva.html" TargetMode="External"/><Relationship Id="rId7" Type="http://schemas.openxmlformats.org/officeDocument/2006/relationships/hyperlink" Target="http://oek.su/support_businesses/2394-konkurs-na-okazanie-finansovoy-podderzhki-subektam-malogo-i-srednego-predprinimatelstva.html" TargetMode="External"/><Relationship Id="rId12" Type="http://schemas.openxmlformats.org/officeDocument/2006/relationships/hyperlink" Target="http://oek.su/support_businesses/2394-konkurs-na-okazanie-finansovoy-podderzhki-subektam-malogo-i-srednego-predprinimatelstva.html" TargetMode="External"/><Relationship Id="rId17" Type="http://schemas.openxmlformats.org/officeDocument/2006/relationships/hyperlink" Target="http://oek.su/support_businesses/2394-konkurs-na-okazanie-finansovoy-podderzhki-subektam-malogo-i-srednego-predprinimatelstva.html" TargetMode="External"/><Relationship Id="rId25" Type="http://schemas.openxmlformats.org/officeDocument/2006/relationships/hyperlink" Target="http://oek.su/support_businesses/2394-konkurs-na-okazanie-finansovoy-podderzhki-subektam-malogo-i-srednego-predprinimatelstva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ek.su/support_businesses/2394-konkurs-na-okazanie-finansovoy-podderzhki-subektam-malogo-i-srednego-predprinimatelstva.html" TargetMode="External"/><Relationship Id="rId20" Type="http://schemas.openxmlformats.org/officeDocument/2006/relationships/hyperlink" Target="http://oek.su/support_businesses/2394-konkurs-na-okazanie-finansovoy-podderzhki-subektam-malogo-i-srednego-predprinimatelstva.html" TargetMode="External"/><Relationship Id="rId29" Type="http://schemas.openxmlformats.org/officeDocument/2006/relationships/hyperlink" Target="http://oek.su/support_businesses/2394-konkurs-na-okazanie-finansovoy-podderzhki-subektam-malogo-i-srednego-predprinimatelstv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ek.su/support_businesses/2394-konkurs-na-okazanie-finansovoy-podderzhki-subektam-malogo-i-srednego-predprinimatelstva.html" TargetMode="External"/><Relationship Id="rId11" Type="http://schemas.openxmlformats.org/officeDocument/2006/relationships/hyperlink" Target="http://oek.su/support_businesses/consultantplus%3A/offline/ref=954ACDD453BE315C217534EB9044B6372563E9BBDF26E95448BA44E54AQCT8B" TargetMode="External"/><Relationship Id="rId24" Type="http://schemas.openxmlformats.org/officeDocument/2006/relationships/hyperlink" Target="http://oek.su/support_businesses/2394-konkurs-na-okazanie-finansovoy-podderzhki-subektam-malogo-i-srednego-predprinimatelstv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oek.su/support_businesses/2394-konkurs-na-okazanie-finansovoy-podderzhki-subektam-malogo-i-srednego-predprinimatelstva.html" TargetMode="External"/><Relationship Id="rId15" Type="http://schemas.openxmlformats.org/officeDocument/2006/relationships/hyperlink" Target="http://oek.su/support_businesses/2394-konkurs-na-okazanie-finansovoy-podderzhki-subektam-malogo-i-srednego-predprinimatelstva.html" TargetMode="External"/><Relationship Id="rId23" Type="http://schemas.openxmlformats.org/officeDocument/2006/relationships/hyperlink" Target="http://oek.su/support_businesses/2394-konkurs-na-okazanie-finansovoy-podderzhki-subektam-malogo-i-srednego-predprinimatelstva.html" TargetMode="External"/><Relationship Id="rId28" Type="http://schemas.openxmlformats.org/officeDocument/2006/relationships/hyperlink" Target="http://oek.su/support_businesses/2394-konkurs-na-okazanie-finansovoy-podderzhki-subektam-malogo-i-srednego-predprinimatelstva.html" TargetMode="External"/><Relationship Id="rId10" Type="http://schemas.openxmlformats.org/officeDocument/2006/relationships/hyperlink" Target="http://oek.su/support_businesses/consultantplus%3A/offline/ref=954ACDD453BE315C217534EB9044B6372462EEB4D128B45E40E348E74DC70F49433361B588A2C7Q5T6B" TargetMode="External"/><Relationship Id="rId19" Type="http://schemas.openxmlformats.org/officeDocument/2006/relationships/hyperlink" Target="http://oek.su/support_businesses/2394-konkurs-na-okazanie-finansovoy-podderzhki-subektam-malogo-i-srednego-predprinimatelstva.html" TargetMode="External"/><Relationship Id="rId31" Type="http://schemas.openxmlformats.org/officeDocument/2006/relationships/hyperlink" Target="http://oek.su/support_businesses/2394-konkurs-na-okazanie-finansovoy-podderzhki-subektam-malogo-i-srednego-predprinimatelstva.html" TargetMode="External"/><Relationship Id="rId4" Type="http://schemas.openxmlformats.org/officeDocument/2006/relationships/hyperlink" Target="http://oek.su/support_businesses/consultantplus%3A/offline/ref=954ACDD453BE315C217534EB9044B637266AE9B3D22BE95448BA44E54AC8505E447A6DB488A0CE51QCT9B" TargetMode="External"/><Relationship Id="rId9" Type="http://schemas.openxmlformats.org/officeDocument/2006/relationships/hyperlink" Target="http://oek.su/support_businesses/consultantplus%3A/offline/ref=954ACDD453BE315C217534EB9044B6372462EEB4D128B45E40E348E74DC70F49433361B588A0CCQ5T0B" TargetMode="External"/><Relationship Id="rId14" Type="http://schemas.openxmlformats.org/officeDocument/2006/relationships/hyperlink" Target="http://oek.su/support_businesses/2394-konkurs-na-okazanie-finansovoy-podderzhki-subektam-malogo-i-srednego-predprinimatelstva.html" TargetMode="External"/><Relationship Id="rId22" Type="http://schemas.openxmlformats.org/officeDocument/2006/relationships/hyperlink" Target="http://oek.su/support_businesses/2394-konkurs-na-okazanie-finansovoy-podderzhki-subektam-malogo-i-srednego-predprinimatelstva.html" TargetMode="External"/><Relationship Id="rId27" Type="http://schemas.openxmlformats.org/officeDocument/2006/relationships/hyperlink" Target="http://oek.su/support_businesses/2394-konkurs-na-okazanie-finansovoy-podderzhki-subektam-malogo-i-srednego-predprinimatelstva.html" TargetMode="External"/><Relationship Id="rId30" Type="http://schemas.openxmlformats.org/officeDocument/2006/relationships/hyperlink" Target="http://oek.su/support_businesses/2394-konkurs-na-okazanie-finansovoy-podderzhki-subektam-malogo-i-srednego-predprinimatelstva.html" TargetMode="External"/><Relationship Id="rId8" Type="http://schemas.openxmlformats.org/officeDocument/2006/relationships/hyperlink" Target="http://oek.su/support_businesses/consultantplus%3A/offline/ref=954ACDD453BE315C217534EB9044B637266BE8B3D421E95448BA44E54AC8505E447A6DB488A0CE52QCT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2022-11-02T01:23:00Z</dcterms:created>
  <dcterms:modified xsi:type="dcterms:W3CDTF">2022-11-02T02:21:00Z</dcterms:modified>
</cp:coreProperties>
</file>