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РОССИЙСКАЯ ФЕДЕРАЦИЯ</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ИРКУТСКАЯ ОБЛАСТЬ</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ИРКУТСКИЙ РАЙОН</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ОЕКСКОЕ МУНИЦИПАЛЬНОЕ ОБРАЗОВАНИЕ</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АДМИНИСТРАЦИЯ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РАСПОРЯЖЕНИЕ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br/>
      </w:r>
      <w:r w:rsidRPr="00831B90">
        <w:rPr>
          <w:rFonts w:ascii="Tahoma" w:eastAsia="Times New Roman" w:hAnsi="Tahoma" w:cs="Tahoma"/>
          <w:color w:val="2C2C2C"/>
          <w:sz w:val="20"/>
          <w:szCs w:val="20"/>
          <w:lang w:eastAsia="ru-RU"/>
        </w:rPr>
        <w:br/>
        <w:t>от «05» сентября 2017 г.                                                                     № 152-р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(Приложение №1).</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 Контроль за исполнением данного распоряжения оставляю за собой.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1</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 распоряжению администрации</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Оекского муниципального образования</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от 05 сентября 2017 года № 152-р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Конкурсная документация</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 проведению открытого конкурса по отбору</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управляющей организации для управления многоквартирными домами, расположенными на территории Оекского муниципального образования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2.Предмет конкурса – право заключения договоров управления многоквартирными домами в отношении объекта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3.Объект конкурса – общее имущество собственников помещений в многоквартирных домах по ул. Кирова, д. 24, 26, 30 с. Оек Иркутского района Иркутской области.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4.Организатор конкурса – администрация Оекского муниципального образования,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Место нахождения: Иркутская область, Иркутский район, с. Оек, ул. Кирова, 91 "Г".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Почтовый адрес: 664541, Иркутская область, Иркутский район, с. Оек, ул. Кирова, 91 "Г".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Дата начала приема заявок на участие в конкурсе– 06.09.2017 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Дата окончания приема заявок на участие в конкурсе – 06.10.2017 г. в 14 часов 00 минут.</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Дата, время и место вскрытия конвертов с заявками на участие в конкурсе – 09.10.2017 г. в 14 часов 00 минут по адресу: Иркутский район, с.Оек, ул.Кирова, 91 «Г», актовый зал.</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Дата, время и место заседания комиссии о признании претендента участником конкурса или об отказе в допуске претендента к участию в конкурсе - 12.10.2017 г. в 14 часов 00 минут по адресу: Иркутский район, с.Оек, ул.Кирова, 91 «Г», актовый зал.</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 Дата, время и место проведения конкурса – 13.10.2017 г. в 14 часов 00 минут по адресу: Иркутский район, с.Оек, ул.Кирова, 91 «Г», актовый зал.</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Номер контактного телефона/факса: 8(3952)69-31-22, 69-33-11.</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Обеспечение заявки на участие в конкурсе составляет: </w:t>
      </w:r>
      <w:r w:rsidRPr="00831B90">
        <w:rPr>
          <w:rFonts w:ascii="Tahoma" w:eastAsia="Times New Roman" w:hAnsi="Tahoma" w:cs="Tahoma"/>
          <w:b/>
          <w:bCs/>
          <w:color w:val="2C2C2C"/>
          <w:sz w:val="20"/>
          <w:szCs w:val="20"/>
          <w:lang w:eastAsia="ru-RU"/>
        </w:rPr>
        <w:t>653,64 (шестьсот пятьдесят три  рубля 64 копейки).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Реквизиты банковского счета для перечисления средств в качестве обеспечения заявки на участие в конкурсе:</w:t>
      </w:r>
    </w:p>
    <w:tbl>
      <w:tblPr>
        <w:tblW w:w="9708" w:type="dxa"/>
        <w:tblCellSpacing w:w="0" w:type="dxa"/>
        <w:tblCellMar>
          <w:left w:w="0" w:type="dxa"/>
          <w:right w:w="0" w:type="dxa"/>
        </w:tblCellMar>
        <w:tblLook w:val="04A0" w:firstRow="1" w:lastRow="0" w:firstColumn="1" w:lastColumn="0" w:noHBand="0" w:noVBand="1"/>
      </w:tblPr>
      <w:tblGrid>
        <w:gridCol w:w="5004"/>
        <w:gridCol w:w="852"/>
        <w:gridCol w:w="1296"/>
        <w:gridCol w:w="240"/>
        <w:gridCol w:w="768"/>
        <w:gridCol w:w="1356"/>
        <w:gridCol w:w="192"/>
      </w:tblGrid>
      <w:tr w:rsidR="00831B90" w:rsidRPr="00831B90" w:rsidTr="00831B90">
        <w:trPr>
          <w:tblCellSpacing w:w="0" w:type="dxa"/>
        </w:trPr>
        <w:tc>
          <w:tcPr>
            <w:tcW w:w="9516" w:type="dxa"/>
            <w:gridSpan w:val="6"/>
            <w:vAlign w:val="bottom"/>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Банк получателя – Отделение Иркутск г.Иркутск</w:t>
            </w:r>
          </w:p>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г. Иркутск</w:t>
            </w:r>
          </w:p>
        </w:tc>
        <w:tc>
          <w:tcPr>
            <w:tcW w:w="192"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r>
      <w:tr w:rsidR="00831B90" w:rsidRPr="00831B90" w:rsidTr="00831B90">
        <w:trPr>
          <w:tblCellSpacing w:w="0" w:type="dxa"/>
        </w:trPr>
        <w:tc>
          <w:tcPr>
            <w:tcW w:w="7152" w:type="dxa"/>
            <w:gridSpan w:val="3"/>
            <w:vAlign w:val="bottom"/>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Расчетный счет: 40302810825203000158</w:t>
            </w:r>
          </w:p>
        </w:tc>
        <w:tc>
          <w:tcPr>
            <w:tcW w:w="240"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768"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344"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92"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r>
      <w:tr w:rsidR="00831B90" w:rsidRPr="00831B90" w:rsidTr="00831B90">
        <w:trPr>
          <w:tblCellSpacing w:w="0" w:type="dxa"/>
        </w:trPr>
        <w:tc>
          <w:tcPr>
            <w:tcW w:w="7152" w:type="dxa"/>
            <w:gridSpan w:val="3"/>
            <w:vAlign w:val="bottom"/>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ИНН 3827020785, КПП 382701001</w:t>
            </w:r>
          </w:p>
        </w:tc>
        <w:tc>
          <w:tcPr>
            <w:tcW w:w="240"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768"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344"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92"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r>
      <w:tr w:rsidR="00831B90" w:rsidRPr="00831B90" w:rsidTr="00831B90">
        <w:trPr>
          <w:tblCellSpacing w:w="0" w:type="dxa"/>
        </w:trPr>
        <w:tc>
          <w:tcPr>
            <w:tcW w:w="9516" w:type="dxa"/>
            <w:gridSpan w:val="6"/>
            <w:vAlign w:val="bottom"/>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Получатель – Отделение Иркутск г. Иркутск, л/с 05343007970</w:t>
            </w:r>
          </w:p>
        </w:tc>
        <w:tc>
          <w:tcPr>
            <w:tcW w:w="192"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r>
      <w:tr w:rsidR="00831B90" w:rsidRPr="00831B90" w:rsidTr="00831B90">
        <w:trPr>
          <w:tblCellSpacing w:w="0" w:type="dxa"/>
        </w:trPr>
        <w:tc>
          <w:tcPr>
            <w:tcW w:w="5004"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БИК 042520001</w:t>
            </w:r>
          </w:p>
        </w:tc>
        <w:tc>
          <w:tcPr>
            <w:tcW w:w="852"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296"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240"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768"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344"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c>
          <w:tcPr>
            <w:tcW w:w="192" w:type="dxa"/>
            <w:vAlign w:val="bottom"/>
            <w:hideMark/>
          </w:tcPr>
          <w:p w:rsidR="00831B90" w:rsidRPr="00831B90" w:rsidRDefault="00831B90" w:rsidP="00831B90">
            <w:pPr>
              <w:spacing w:line="240" w:lineRule="auto"/>
              <w:ind w:firstLine="0"/>
              <w:rPr>
                <w:rFonts w:eastAsia="Times New Roman" w:cs="Times New Roman"/>
                <w:sz w:val="24"/>
                <w:szCs w:val="24"/>
                <w:lang w:eastAsia="ru-RU"/>
              </w:rPr>
            </w:pPr>
          </w:p>
        </w:tc>
      </w:tr>
      <w:tr w:rsidR="00831B90" w:rsidRPr="00831B90" w:rsidTr="00831B90">
        <w:trPr>
          <w:tblCellSpacing w:w="0" w:type="dxa"/>
        </w:trPr>
        <w:tc>
          <w:tcPr>
            <w:tcW w:w="5004"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c>
          <w:tcPr>
            <w:tcW w:w="852"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c>
          <w:tcPr>
            <w:tcW w:w="1296"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c>
          <w:tcPr>
            <w:tcW w:w="240"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c>
          <w:tcPr>
            <w:tcW w:w="768"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c>
          <w:tcPr>
            <w:tcW w:w="1344"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c>
          <w:tcPr>
            <w:tcW w:w="192" w:type="dxa"/>
            <w:vAlign w:val="center"/>
            <w:hideMark/>
          </w:tcPr>
          <w:p w:rsidR="00831B90" w:rsidRPr="00831B90" w:rsidRDefault="00831B90" w:rsidP="00831B90">
            <w:pPr>
              <w:spacing w:line="240" w:lineRule="auto"/>
              <w:ind w:firstLine="0"/>
              <w:rPr>
                <w:rFonts w:eastAsia="Times New Roman" w:cs="Times New Roman"/>
                <w:sz w:val="24"/>
                <w:szCs w:val="24"/>
                <w:lang w:eastAsia="ru-RU"/>
              </w:rPr>
            </w:pPr>
          </w:p>
        </w:tc>
      </w:tr>
    </w:tbl>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В поле назначение платежа указать: "Обеспечение заявки на участие в открытом конкурсе по отбору управляющей организации".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5.Характеристика жилого фонда, расположенного на территории Оекского муниципального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1296"/>
        <w:gridCol w:w="912"/>
        <w:gridCol w:w="792"/>
        <w:gridCol w:w="1104"/>
        <w:gridCol w:w="875"/>
        <w:gridCol w:w="1231"/>
        <w:gridCol w:w="1019"/>
        <w:gridCol w:w="1584"/>
      </w:tblGrid>
      <w:tr w:rsidR="00831B90" w:rsidRPr="00831B90" w:rsidTr="00831B90">
        <w:trPr>
          <w:tblCellSpacing w:w="0" w:type="dxa"/>
        </w:trPr>
        <w:tc>
          <w:tcPr>
            <w:tcW w:w="43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 п/п</w:t>
            </w:r>
          </w:p>
        </w:tc>
        <w:tc>
          <w:tcPr>
            <w:tcW w:w="2952" w:type="dxa"/>
            <w:gridSpan w:val="3"/>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Адрес</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Год постройки</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Степень износа</w:t>
            </w:r>
          </w:p>
        </w:tc>
        <w:tc>
          <w:tcPr>
            <w:tcW w:w="56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Количество квартир</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S общ.кв.м.</w:t>
            </w:r>
          </w:p>
        </w:tc>
        <w:tc>
          <w:tcPr>
            <w:tcW w:w="15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S жил. кв.м.</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43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p>
        </w:tc>
        <w:tc>
          <w:tcPr>
            <w:tcW w:w="12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Населенный пункт</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улица</w:t>
            </w:r>
          </w:p>
        </w:tc>
        <w:tc>
          <w:tcPr>
            <w:tcW w:w="79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Номер дома</w:t>
            </w:r>
          </w:p>
        </w:tc>
        <w:tc>
          <w:tcPr>
            <w:tcW w:w="4428" w:type="dxa"/>
            <w:gridSpan w:val="5"/>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p>
        </w:tc>
      </w:tr>
      <w:tr w:rsidR="00831B90" w:rsidRPr="00831B90" w:rsidTr="00831B90">
        <w:trPr>
          <w:tblCellSpacing w:w="0" w:type="dxa"/>
        </w:trPr>
        <w:tc>
          <w:tcPr>
            <w:tcW w:w="43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w:t>
            </w:r>
          </w:p>
        </w:tc>
        <w:tc>
          <w:tcPr>
            <w:tcW w:w="12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 село Оек</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Кирова</w:t>
            </w:r>
          </w:p>
        </w:tc>
        <w:tc>
          <w:tcPr>
            <w:tcW w:w="79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24</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1964</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w:t>
            </w:r>
          </w:p>
        </w:tc>
        <w:tc>
          <w:tcPr>
            <w:tcW w:w="56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8</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339,2 кв.м.</w:t>
            </w:r>
          </w:p>
        </w:tc>
        <w:tc>
          <w:tcPr>
            <w:tcW w:w="15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221,8</w:t>
            </w:r>
          </w:p>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кв.м.</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43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w:t>
            </w:r>
          </w:p>
        </w:tc>
        <w:tc>
          <w:tcPr>
            <w:tcW w:w="12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 село Оек</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Кирова</w:t>
            </w:r>
          </w:p>
        </w:tc>
        <w:tc>
          <w:tcPr>
            <w:tcW w:w="79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26</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1964</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w:t>
            </w:r>
          </w:p>
        </w:tc>
        <w:tc>
          <w:tcPr>
            <w:tcW w:w="56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8</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349,8 кв.м</w:t>
            </w:r>
          </w:p>
        </w:tc>
        <w:tc>
          <w:tcPr>
            <w:tcW w:w="15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228,8 кв.м.</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43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w:t>
            </w:r>
          </w:p>
        </w:tc>
        <w:tc>
          <w:tcPr>
            <w:tcW w:w="12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 село Оек</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Кирова</w:t>
            </w:r>
          </w:p>
        </w:tc>
        <w:tc>
          <w:tcPr>
            <w:tcW w:w="79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30</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1964</w:t>
            </w:r>
          </w:p>
        </w:tc>
        <w:tc>
          <w:tcPr>
            <w:tcW w:w="6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w:t>
            </w:r>
          </w:p>
        </w:tc>
        <w:tc>
          <w:tcPr>
            <w:tcW w:w="56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8</w:t>
            </w:r>
          </w:p>
        </w:tc>
        <w:tc>
          <w:tcPr>
            <w:tcW w:w="912"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303,63 кв.м.</w:t>
            </w:r>
          </w:p>
        </w:tc>
        <w:tc>
          <w:tcPr>
            <w:tcW w:w="1584"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155,34 кв.м.</w:t>
            </w:r>
          </w:p>
        </w:tc>
      </w:tr>
    </w:tbl>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6. </w:t>
      </w:r>
      <w:r w:rsidRPr="00831B90">
        <w:rPr>
          <w:rFonts w:ascii="Tahoma" w:eastAsia="Times New Roman" w:hAnsi="Tahoma" w:cs="Tahoma"/>
          <w:b/>
          <w:bCs/>
          <w:color w:val="2C2C2C"/>
          <w:sz w:val="20"/>
          <w:szCs w:val="20"/>
          <w:lang w:eastAsia="ru-RU"/>
        </w:rPr>
        <w:t>Размер платы за содержание и ремонт жилого помещения, </w:t>
      </w:r>
      <w:r w:rsidRPr="00831B90">
        <w:rPr>
          <w:rFonts w:ascii="Tahoma" w:eastAsia="Times New Roman" w:hAnsi="Tahoma" w:cs="Tahoma"/>
          <w:color w:val="2C2C2C"/>
          <w:sz w:val="20"/>
          <w:szCs w:val="20"/>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13 рублей 17 коп. за 1 кв.м. общей площади (приложение №2).</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7</w:t>
      </w:r>
      <w:r w:rsidRPr="00831B90">
        <w:rPr>
          <w:rFonts w:ascii="Tahoma" w:eastAsia="Times New Roman" w:hAnsi="Tahoma" w:cs="Tahoma"/>
          <w:b/>
          <w:bCs/>
          <w:color w:val="2C2C2C"/>
          <w:sz w:val="20"/>
          <w:szCs w:val="20"/>
          <w:lang w:eastAsia="ru-RU"/>
        </w:rPr>
        <w:t>.</w:t>
      </w:r>
      <w:r w:rsidRPr="00831B90">
        <w:rPr>
          <w:rFonts w:ascii="Tahoma" w:eastAsia="Times New Roman" w:hAnsi="Tahoma" w:cs="Tahoma"/>
          <w:color w:val="2C2C2C"/>
          <w:sz w:val="20"/>
          <w:szCs w:val="20"/>
          <w:lang w:eastAsia="ru-RU"/>
        </w:rPr>
        <w:t> Порядок проведения осмотров заинтересованными лицами и претендентами объекта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 Требования к участникам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w:t>
      </w:r>
      <w:r w:rsidRPr="00831B90">
        <w:rPr>
          <w:rFonts w:ascii="Tahoma" w:eastAsia="Times New Roman" w:hAnsi="Tahoma" w:cs="Tahoma"/>
          <w:color w:val="2C2C2C"/>
          <w:sz w:val="20"/>
          <w:szCs w:val="20"/>
          <w:lang w:eastAsia="ru-RU"/>
        </w:rPr>
        <w:lastRenderedPageBreak/>
        <w:t>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 Форма заявки на участие в конкурсе и порядок ее заполнения.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Заявка на участие в конкурсе подается по установленной форме в соответствии с законодательством Российской Федерации (приложение № 3).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4).</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Заявитель вправе подать в отношении одного лота только одну заявку. Заявка подается в письменной форме.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 Заявка на участие в конкурсе включает в себя: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сведения и документы о претенденте: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наименование, организационно-правовую форму, место нахождения, почтовый адрес - для юридического лица;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фамилию, имя, отчество, данные документа, удостоверяющего личность, место жительства - для индивидуального предпринимателя;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номер телефона;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выписку из Единого государственного реестра юридических лиц - для юридического лица;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-выписку из Единого государственного реестра индивидуальных предпринимателей - для индивидуального предпринимателя;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реквизиты банковского счета для возврата средств, внесенных в качестве обеспечения заявки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документы, подтверждающие внесение средств в качестве обеспечения заявки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утвержденный бухгалтерский баланс за последний отчетный период;</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 В заявке заполняются все разделы и все данные установленной формы.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w:t>
      </w:r>
      <w:r w:rsidRPr="00831B90">
        <w:rPr>
          <w:rFonts w:ascii="Tahoma" w:eastAsia="Times New Roman" w:hAnsi="Tahoma" w:cs="Tahoma"/>
          <w:color w:val="2C2C2C"/>
          <w:sz w:val="20"/>
          <w:szCs w:val="20"/>
          <w:lang w:eastAsia="ru-RU"/>
        </w:rPr>
        <w:lastRenderedPageBreak/>
        <w:t>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7) К заявке прикладываются документы, перечисленные в установленной форме заявки: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Все документы, входящие в состав заявки на участие в конкурсе, должны быть составлены на русском языке.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Представленные в составе заявки на участие в конкурсе документы претенденту не возвращаются.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831B90">
        <w:rPr>
          <w:rFonts w:ascii="Tahoma" w:eastAsia="Times New Roman" w:hAnsi="Tahoma" w:cs="Tahoma"/>
          <w:b/>
          <w:bCs/>
          <w:color w:val="2C2C2C"/>
          <w:sz w:val="20"/>
          <w:szCs w:val="20"/>
          <w:lang w:eastAsia="ru-RU"/>
        </w:rPr>
        <w:t>Не вскрывать до 14-00 (время Иркутское) «09 октября 2017 года</w:t>
      </w:r>
      <w:r w:rsidRPr="00831B90">
        <w:rPr>
          <w:rFonts w:ascii="Tahoma" w:eastAsia="Times New Roman" w:hAnsi="Tahoma" w:cs="Tahoma"/>
          <w:color w:val="2C2C2C"/>
          <w:sz w:val="20"/>
          <w:szCs w:val="20"/>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 Срок заключения договора и предоставления исполнения обязательств.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10. Требования к порядку изменения обязательств сторон по договору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w:t>
      </w:r>
      <w:r w:rsidRPr="00831B90">
        <w:rPr>
          <w:rFonts w:ascii="Tahoma" w:eastAsia="Times New Roman" w:hAnsi="Tahoma" w:cs="Tahoma"/>
          <w:color w:val="2C2C2C"/>
          <w:sz w:val="20"/>
          <w:szCs w:val="20"/>
          <w:lang w:eastAsia="ru-RU"/>
        </w:rPr>
        <w:lastRenderedPageBreak/>
        <w:t>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11. Срок начала выполнения управляющей организацией возникших по результатам конкурса обязательств: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 оу = К x (Рои + Рку),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где: О оу - размер обеспечения исполнения обязательств;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К - коэффициент, установленный организатором конкурса в размере 0,5;</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12.2. Размер обеспечения исполнения обязательств по объекту указан в Извещении о проведении открытого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w:t>
      </w:r>
      <w:r w:rsidRPr="00831B90">
        <w:rPr>
          <w:rFonts w:ascii="Tahoma" w:eastAsia="Times New Roman" w:hAnsi="Tahoma" w:cs="Tahoma"/>
          <w:color w:val="2C2C2C"/>
          <w:sz w:val="20"/>
          <w:szCs w:val="20"/>
          <w:lang w:eastAsia="ru-RU"/>
        </w:rPr>
        <w:lastRenderedPageBreak/>
        <w:t>многоквартирным домом, в том числе в случае невыполнения обязательств по оплате энергоресурсов энергоснабжающим организациям.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14.2. Контроль осуществляется путем: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участия в приемке всех видов работ, в том числе по подготовке дома к сезонной эксплуатации;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составления актов о нарушении условий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14.7. В случаях нарушения условий Договора по требованию любой из Сторон Договора составляется акт о нарушениях, к которым относятся: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w:t>
      </w:r>
      <w:r w:rsidRPr="00831B90">
        <w:rPr>
          <w:rFonts w:ascii="Tahoma" w:eastAsia="Times New Roman" w:hAnsi="Tahoma" w:cs="Tahoma"/>
          <w:color w:val="2C2C2C"/>
          <w:sz w:val="20"/>
          <w:szCs w:val="20"/>
          <w:lang w:eastAsia="ru-RU"/>
        </w:rPr>
        <w:lastRenderedPageBreak/>
        <w:t>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неправомерные действия собственника в объекте.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15. Срок действия договора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Срок действия договоров управления многоквартирным домом составляет 3 (три) года.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Договор управления многоквартирным домом продлевается на 3 месяца: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16. Проект договора управления многоквартирными домами Приложение № 5.</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2</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 распоряжению администрации</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Оекского муниципального образования</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от 05 сентября 2017 года № 152-р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Тарифы на содержание и ремонт жилого помещения для</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для многоквартирных домов по адресу: Иркутская область, Иркутский район, с. Оек, ул. Кирова, д. 24, д.26, д.30 по Оекскому муниципальному образованию.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3180"/>
        <w:gridCol w:w="1920"/>
        <w:gridCol w:w="1920"/>
      </w:tblGrid>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lastRenderedPageBreak/>
              <w:t>№</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наименование</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Ед.изм.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Тариф</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Содержание жилья</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Руб./кв.м.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2,93</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Текущий ремонт</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Руб./кв.м.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5,00</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Вывоз ТБО</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Руб./кв.м.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5,24</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Итого</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Руб./кв.м.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13,17</w:t>
            </w:r>
          </w:p>
        </w:tc>
      </w:tr>
    </w:tbl>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3180"/>
        <w:gridCol w:w="1920"/>
        <w:gridCol w:w="1920"/>
      </w:tblGrid>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Адрес</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Общ. размер</w:t>
            </w:r>
          </w:p>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помещения</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Стоимость в месяц</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 Оек, ул. Кирова, д.24</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339,2 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4467,26</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2</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 Оек, ул. Кирова, д.26</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349,8 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4606,86</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w:t>
            </w: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 Оек, ул. Кирова, д.30</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303,63 кв.м</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3998,80</w:t>
            </w:r>
          </w:p>
          <w:p w:rsidR="00831B90" w:rsidRPr="00831B90" w:rsidRDefault="00831B90" w:rsidP="00831B90">
            <w:pPr>
              <w:spacing w:line="240" w:lineRule="auto"/>
              <w:ind w:firstLine="0"/>
              <w:jc w:val="left"/>
              <w:rPr>
                <w:rFonts w:eastAsia="Times New Roman" w:cs="Times New Roman"/>
                <w:sz w:val="24"/>
                <w:szCs w:val="24"/>
                <w:lang w:eastAsia="ru-RU"/>
              </w:rPr>
            </w:pPr>
          </w:p>
        </w:tc>
      </w:tr>
      <w:tr w:rsidR="00831B90" w:rsidRPr="00831B90" w:rsidTr="00831B90">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p>
        </w:tc>
        <w:tc>
          <w:tcPr>
            <w:tcW w:w="318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Итого</w:t>
            </w: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13072,92</w:t>
            </w:r>
          </w:p>
        </w:tc>
      </w:tr>
    </w:tbl>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Перечень работ по содержанию жилья: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Работы, выполняемые при проведении технических осмотров и обходов отдельных элементов и помещений дома ( проводятся 1 раз в год):</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Работы, выполняемые при подготовке дома к эксплуатации в весенне-летний период:</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 Укрепление водосточных труб, колен и воронок.</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Работы, выполняемые при подготовке дома к эксплуатации в осенне-зимний период:</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3.1. Замена разбитых стекол окон и дверей в местах общего пользования и вспомогательных помещениях.</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3.2. Утепление чердачных перекрытий.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3.3 Устранение мелких неисправностей электропроводки в местах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 Санитарные работы по содержанию помещений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4.1. Подметание полов во всех помещениях общего пользования и их влажная уборка - 3 раза в неделю.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 Уборка земельного участка, входящего в состав общего имущества многоквартирного дома: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5.1. Подметание земельного участка в летний период — 3 раза в неделю.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5.2. Сдвижка о подметание снега в отсутствие снегопада — 1 раз в неделю.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5.3. Сдвижка и подметание снега при снегопаде — 2 раза в день.</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Перечень работ по текущему ремонту общего имущества дома: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Устранение местных деформаций, усиление, восстановление поврежденных участков фундаментов, вентиляционных продухов, отмосток и входов в подвалы.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 Частичная смена отдельных элементов перекрытий, заделка швов и трещин в местах общего пользования, их укрепление и окраска.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 Смена и восстановление отдельных элементов (приборов), оконных и дверных заполнений в местах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 Восстановление или замена отдельных участков и элементов лестниц, крылец (зонты, козырьки над входами в подъезды, подвалы).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7. Замена, восстановление отдельных участков полов в местах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3</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 распоряжению администрации</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Оекского муниципального образования</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от 05 сентября 2017 года № 152-р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ЗАЯВКА</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 участие в конкурсе по отбору управляющей организации</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для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 Заявление об участии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(организационно-правовая форма, наименование/фирменное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организации или ф.и.о. физического лица,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данные документа, удостоверяющего личность)</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(место нахождения, почтовый адрес организации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или место жительства индивидуального предпринимателя)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(номер телефона)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заявляет об участии в конкурсе по отбору управляющей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организации для управления многоквартирным домом (многоквартирными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домами), расположенным(и) по адресу: 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(адрес многоквартирного дома)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Средства, внесенные в качестве обеспечения заявки на участие 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конкурсе, просим возвратить на счет: 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(реквизиты банковского счета)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 Предложения претендента по условиям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(описание предлагаемого претендентом в качестве условия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управления многоквартирным домом способа внесения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собственниками помещений в многоквартирном доме и нанимателями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жилых помещений по договору социального найма и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найма жилых помещений государственного или муниципального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жилищного фонда платы за содержание и ремонт</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жилого помещения и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Внесение собственниками помещений в многоквартирном доме 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нанимателями жилых помещений по договору социального найма 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договору найма жилых помещений государственного или муниципального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жилищного фонда платы за содержание и ремонт жилого помещения 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платы за коммунальные услуги предлагаю осуществлять на счет 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(реквизиты банковского счета претендента)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 заявке прилагаются следующие документы: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1) выписка из Единого государственного реестра юридических лиц</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(для юридического лица), выписка из Единого государственного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реестра индивидуальных предпринимателей (для индивидуального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предпринимателя):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и реквизиты документов, количество листов)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2) документ, подтверждающий полномочия лица на осуществление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действий от имени юридического лица или индивидуального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предпринимателя, подавших заявку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и реквизиты документов, количество листов)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3) документы, подтверждающие внесение денежных средств 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качестве обеспечения заявки на 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и реквизиты документов, количество листов)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4) копии документов, подтверждающих соответствие претендента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требованию: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и реквизиты документов, количество листов)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5) утвержденный бухгалтерский баланс за последний год:</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и реквизиты документов, количество листов)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(должность, ф.и.о. руководителя организации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или ф.и.о. индивидуального предпринимателя)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 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(подпись) (ф.и.о.)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 _____________ 200_ 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М.П.</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4</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 распоряжению администрации</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Оекского муниципального образования</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от 05 сентября 2017 года № 152-р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РАСПИСКА</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 получении заявки на участие в конкурсе по отбору</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управляющей организации для управления</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Настоящая расписка выдана претенденту 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организации или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ф.и.о. индивидуального предпринимателя)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 том,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организатора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принял(а) от него (нее) запечатанный конверт с заявкой для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участия в открытом конкурсе по отбору управляющей организации для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управления многоквартирным домом (многоквартирными домами) 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(адрес многоквартирного дома)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Заявка зарегистрирована "__" ____________ 20_ г. в 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(наименование документа, в котором регистрируется заявка)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под номером 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Лицо, уполномоченное организатором конкурса принимать заявки на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участие в конкурсе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(должность)</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_________________ 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(подпись) (ф.и.о.)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"__" _____________ 20_ 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М.П.</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5</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к распоряжению администрации</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Оекского муниципального образования</w:t>
      </w:r>
    </w:p>
    <w:p w:rsidR="00831B90" w:rsidRPr="00831B90" w:rsidRDefault="00831B90" w:rsidP="00831B90">
      <w:pPr>
        <w:shd w:val="clear" w:color="auto" w:fill="FFFFFF"/>
        <w:spacing w:line="240" w:lineRule="auto"/>
        <w:ind w:firstLine="0"/>
        <w:jc w:val="right"/>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от 05 сентября 2017 года № 152-р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ДОГОВОР (ПРОЕКТ)</w:t>
      </w:r>
    </w:p>
    <w:p w:rsidR="00831B90" w:rsidRPr="00831B90" w:rsidRDefault="00831B90" w:rsidP="00831B90">
      <w:pPr>
        <w:shd w:val="clear" w:color="auto" w:fill="FFFFFF"/>
        <w:spacing w:line="240" w:lineRule="auto"/>
        <w:ind w:firstLine="0"/>
        <w:jc w:val="center"/>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с. Оек «____»__________2017 года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Собственник жилого (нежилого)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831B90">
        <w:rPr>
          <w:rFonts w:ascii="Tahoma" w:eastAsia="Times New Roman" w:hAnsi="Tahoma" w:cs="Tahoma"/>
          <w:color w:val="2C2C2C"/>
          <w:sz w:val="20"/>
          <w:szCs w:val="20"/>
          <w:u w:val="single"/>
          <w:lang w:eastAsia="ru-RU"/>
        </w:rPr>
        <w:t>Устава</w:t>
      </w:r>
      <w:r w:rsidRPr="00831B90">
        <w:rPr>
          <w:rFonts w:ascii="Tahoma" w:eastAsia="Times New Roman" w:hAnsi="Tahoma" w:cs="Tahoma"/>
          <w:b/>
          <w:bCs/>
          <w:color w:val="2C2C2C"/>
          <w:sz w:val="20"/>
          <w:szCs w:val="20"/>
          <w:lang w:eastAsia="ru-RU"/>
        </w:rPr>
        <w:t>,</w:t>
      </w:r>
      <w:r w:rsidRPr="00831B90">
        <w:rPr>
          <w:rFonts w:ascii="Tahoma" w:eastAsia="Times New Roman" w:hAnsi="Tahoma" w:cs="Tahoma"/>
          <w:color w:val="2C2C2C"/>
          <w:sz w:val="20"/>
          <w:szCs w:val="20"/>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 ______, хранящийся у организатора конкурса, заключили настоящий договор о нижеследующем: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1. Цели и предмет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с.Оек, решение вопросов пользования указанным имуществом, а также предоставление коммунальных услуг Собственникам, гражданам.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2. Права и обязанности сторон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2.1. Управляющая организация обязана: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w:t>
      </w:r>
      <w:r w:rsidRPr="00831B90">
        <w:rPr>
          <w:rFonts w:ascii="Tahoma" w:eastAsia="Times New Roman" w:hAnsi="Tahoma" w:cs="Tahoma"/>
          <w:color w:val="2C2C2C"/>
          <w:sz w:val="20"/>
          <w:szCs w:val="20"/>
          <w:lang w:eastAsia="ru-RU"/>
        </w:rPr>
        <w:lastRenderedPageBreak/>
        <w:t>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2.1.8. Информировать Собственников и граждан о заключении указанных в п. 2.1.4. договоров и о порядке оплаты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2.1.9.Принимать от граждан, проживающих в Объекте плату за жилое помещение и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Управляющая организация обеспечивает начисление и перечисление платежей за наем в соответствии с заключенным договором.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2.1.10. Требовать от Собственников, граждан платы.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2.1.18. Начислять плату за содержание жилого помещения, плату за коммунальные услуги, плату за общедомовые нужды (ОДН).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2.1.26. Вести работу по взысканию задолженности по оплате за жилье и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2.1.30. Направлять Собственникам при необходимости предложения о проведении капитального ремонта общего имущества Объекта.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2.1.36. Обеспечить выполнение требований пожарной безопасности.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2.2. Управляющая организация имеет право: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2.2.2. Заключать договоры с третьими лицами в целях исполнения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2.3. Собственники, граждане обязаны: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с.Оек более 24 часов.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2.3.3. Соблюдать следующие требования: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а) не производить перенос инженерных сетей;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ж) не допускать производства в помещении работ или совершения других действий, приводящих к порче общего имущества Объекта;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з) не создавать повышенного шума в жилых помещениях и местах общего пользования;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и) информировать Управляющую организацию о проведении работ по ремонту, переустройству и перепланировке помещения.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2.3.5. Предоставлять Управляющей организации в течение трех рабочих дней сведения: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w:t>
      </w:r>
      <w:r w:rsidRPr="00831B90">
        <w:rPr>
          <w:rFonts w:ascii="Tahoma" w:eastAsia="Times New Roman" w:hAnsi="Tahoma" w:cs="Tahoma"/>
          <w:color w:val="2C2C2C"/>
          <w:sz w:val="20"/>
          <w:szCs w:val="20"/>
          <w:lang w:eastAsia="ru-RU"/>
        </w:rPr>
        <w:lastRenderedPageBreak/>
        <w:t>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2.3.7. Сообщать Управляющей организации о выявленных неисправностях общего имущества Объекта.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2.4. Собственники, граждане имеют право: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2.4.3. 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2.4.8. Требовать от Управляющей организации ежегодного представления отчета о выполнении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3. Цена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3.1. Цену настоящего договора составляют денежные средства, полученные Управляющей организацией в виде: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платы нанимателей за содержание и текущий ремонт общего имущества;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4. Порядок определения размера платы за управление Объектом,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содержание и текущий ремонт жилого помещения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и размера платы за коммунальные услуги. Порядок внесения такой платы.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xml:space="preserve">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w:t>
      </w:r>
      <w:r w:rsidRPr="00831B90">
        <w:rPr>
          <w:rFonts w:ascii="Tahoma" w:eastAsia="Times New Roman" w:hAnsi="Tahoma" w:cs="Tahoma"/>
          <w:color w:val="2C2C2C"/>
          <w:sz w:val="20"/>
          <w:szCs w:val="20"/>
          <w:lang w:eastAsia="ru-RU"/>
        </w:rPr>
        <w:lastRenderedPageBreak/>
        <w:t>месяца, следующего за истекшим месяцем, в размере, установленном настоящим договором, _____________________________________________________________________</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4.12. Услуги Управляющей организации, не предусмотренные настоящим Договором, выполняются за отдельную плату по взаимному соглашению Сторон.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5. Формы и способы осуществления контроля над выполнением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Управляющей организацией обязательств по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5.2. Контроль осуществляется путем: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участия в приемке всех видов работ, в том числе по подготовке дома к сезонной эксплуатации;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составления актов о нарушении условий договора в соответствии с положениями п.п. 5.9-5.12 настоящего раздела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5.9. В случаях нарушения условий Договора по требованию любой из Сторон Договора составляется акт о нарушениях, к которым относятся: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 неправомерные действия Собственников, граждан.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6. Ответственность сторон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6.3. Управляющая организация обязана уплатить гражданам, проживающим в Объекте штраф в случае: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7. Форс-мажор</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8. Срок действия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Управляющая организация обязана приступить к выполнению настоящего договора с «__» </w:t>
      </w:r>
      <w:r w:rsidRPr="00831B90">
        <w:rPr>
          <w:rFonts w:ascii="Tahoma" w:eastAsia="Times New Roman" w:hAnsi="Tahoma" w:cs="Tahoma"/>
          <w:color w:val="2C2C2C"/>
          <w:sz w:val="20"/>
          <w:szCs w:val="20"/>
          <w:u w:val="single"/>
          <w:lang w:eastAsia="ru-RU"/>
        </w:rPr>
        <w:t>______________2017 года</w:t>
      </w:r>
      <w:r w:rsidRPr="00831B90">
        <w:rPr>
          <w:rFonts w:ascii="Tahoma" w:eastAsia="Times New Roman" w:hAnsi="Tahoma" w:cs="Tahoma"/>
          <w:color w:val="2C2C2C"/>
          <w:sz w:val="20"/>
          <w:szCs w:val="20"/>
          <w:lang w:eastAsia="ru-RU"/>
        </w:rPr>
        <w:t>.</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8.2. Срок действия договора управления многоквартирным домом устанавливается на 3 года.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Срок действия договора управления многоквартирным продлевается на 3 месяца в случаях, если: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9. Порядок изменение и (или)расторжения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9.2.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lastRenderedPageBreak/>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10. Разрешение споров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10.1. При возникновении споров в связи с исполнением обязательств по настоящему Договору они разрешаются Сторонами путем переговоров.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10.2. В случае невозможности разрешения спора по соглашению Сторон спор рассматривается в установленном действующим законодательством порядке.</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11. Прочие условия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11.2. К настоящему Договору прилагаются и являются его неотъемлемой частью следующие приложения:</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1. Акт о состоянии общего имущества в многоквартирном доме, являющемся объектом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color w:val="2C2C2C"/>
          <w:sz w:val="20"/>
          <w:szCs w:val="20"/>
          <w:lang w:eastAsia="ru-RU"/>
        </w:rPr>
        <w:t>Приложение № 2. Перечень обязательных работ и услуг по содержанию и ремонту общего имущества в многоквартирном доме, являющемся объектом конкурса.</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r w:rsidRPr="00831B90">
        <w:rPr>
          <w:rFonts w:ascii="Tahoma" w:eastAsia="Times New Roman" w:hAnsi="Tahoma" w:cs="Tahoma"/>
          <w:b/>
          <w:bCs/>
          <w:color w:val="2C2C2C"/>
          <w:sz w:val="20"/>
          <w:szCs w:val="20"/>
          <w:lang w:eastAsia="ru-RU"/>
        </w:rPr>
        <w:t>12. Юридические адреса, банковские реквизиты и подписи Сторон</w:t>
      </w:r>
    </w:p>
    <w:p w:rsidR="00831B90" w:rsidRPr="00831B90" w:rsidRDefault="00831B90" w:rsidP="00831B90">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831B90" w:rsidRPr="00831B90" w:rsidTr="00831B90">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Собственник  </w:t>
            </w:r>
          </w:p>
        </w:tc>
        <w:tc>
          <w:tcPr>
            <w:tcW w:w="3828" w:type="dxa"/>
            <w:tcBorders>
              <w:top w:val="outset" w:sz="6" w:space="0" w:color="auto"/>
              <w:left w:val="outset" w:sz="6" w:space="0" w:color="auto"/>
              <w:bottom w:val="outset" w:sz="6" w:space="0" w:color="auto"/>
              <w:right w:val="outset" w:sz="6" w:space="0" w:color="auto"/>
            </w:tcBorders>
            <w:hideMark/>
          </w:tcPr>
          <w:p w:rsidR="00831B90" w:rsidRPr="00831B90" w:rsidRDefault="00831B90" w:rsidP="00831B90">
            <w:pPr>
              <w:spacing w:line="240" w:lineRule="auto"/>
              <w:ind w:firstLine="0"/>
              <w:rPr>
                <w:rFonts w:eastAsia="Times New Roman" w:cs="Times New Roman"/>
                <w:sz w:val="24"/>
                <w:szCs w:val="24"/>
                <w:lang w:eastAsia="ru-RU"/>
              </w:rPr>
            </w:pPr>
            <w:r w:rsidRPr="00831B90">
              <w:rPr>
                <w:rFonts w:eastAsia="Times New Roman" w:cs="Times New Roman"/>
                <w:sz w:val="24"/>
                <w:szCs w:val="24"/>
                <w:lang w:eastAsia="ru-RU"/>
              </w:rPr>
              <w:t>Управляющая организация</w:t>
            </w:r>
          </w:p>
        </w:tc>
      </w:tr>
    </w:tbl>
    <w:p w:rsidR="00831B90" w:rsidRPr="00831B90" w:rsidRDefault="00831B90" w:rsidP="00831B90">
      <w:pPr>
        <w:shd w:val="clear" w:color="auto" w:fill="FFFFFF"/>
        <w:spacing w:line="240" w:lineRule="auto"/>
        <w:ind w:firstLine="0"/>
        <w:rPr>
          <w:rFonts w:ascii="Tahoma" w:eastAsia="Times New Roman" w:hAnsi="Tahoma" w:cs="Tahoma"/>
          <w:vanish/>
          <w:color w:val="2C2C2C"/>
          <w:sz w:val="20"/>
          <w:szCs w:val="20"/>
          <w:lang w:eastAsia="ru-RU"/>
        </w:rPr>
      </w:pPr>
    </w:p>
    <w:tbl>
      <w:tblPr>
        <w:tblW w:w="4392" w:type="dxa"/>
        <w:tblCellSpacing w:w="0" w:type="dxa"/>
        <w:tblCellMar>
          <w:left w:w="0" w:type="dxa"/>
          <w:right w:w="0" w:type="dxa"/>
        </w:tblCellMar>
        <w:tblLook w:val="04A0" w:firstRow="1" w:lastRow="0" w:firstColumn="1" w:lastColumn="0" w:noHBand="0" w:noVBand="1"/>
      </w:tblPr>
      <w:tblGrid>
        <w:gridCol w:w="4392"/>
      </w:tblGrid>
      <w:tr w:rsidR="00831B90" w:rsidRPr="00831B90" w:rsidTr="00831B90">
        <w:trPr>
          <w:tblCellSpacing w:w="0" w:type="dxa"/>
        </w:trPr>
        <w:tc>
          <w:tcPr>
            <w:tcW w:w="4392" w:type="dxa"/>
            <w:hideMark/>
          </w:tcPr>
          <w:p w:rsidR="00831B90" w:rsidRPr="00831B90" w:rsidRDefault="00831B90" w:rsidP="00831B90">
            <w:pPr>
              <w:spacing w:line="240" w:lineRule="auto"/>
              <w:ind w:firstLine="0"/>
              <w:rPr>
                <w:rFonts w:eastAsia="Times New Roman" w:cs="Times New Roman"/>
                <w:sz w:val="24"/>
                <w:szCs w:val="24"/>
                <w:lang w:eastAsia="ru-RU"/>
              </w:rPr>
            </w:pPr>
          </w:p>
        </w:tc>
      </w:tr>
    </w:tbl>
    <w:p w:rsidR="003E0016" w:rsidRPr="00E91B21" w:rsidRDefault="003E0016" w:rsidP="00E91B21">
      <w:bookmarkStart w:id="0" w:name="_GoBack"/>
      <w:bookmarkEnd w:id="0"/>
    </w:p>
    <w:sectPr w:rsidR="003E0016" w:rsidRPr="00E9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831B90"/>
    <w:rsid w:val="008A140B"/>
    <w:rsid w:val="009131F1"/>
    <w:rsid w:val="009D29BE"/>
    <w:rsid w:val="00D23808"/>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12027</Words>
  <Characters>68558</Characters>
  <Application>Microsoft Office Word</Application>
  <DocSecurity>0</DocSecurity>
  <Lines>571</Lines>
  <Paragraphs>160</Paragraphs>
  <ScaleCrop>false</ScaleCrop>
  <Company>diakov.net</Company>
  <LinksUpToDate>false</LinksUpToDate>
  <CharactersWithSpaces>80425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cp:revision>
  <dcterms:created xsi:type="dcterms:W3CDTF">2022-11-01T06:21:00Z</dcterms:created>
  <dcterms:modified xsi:type="dcterms:W3CDTF">2022-11-01T06:26:00Z</dcterms:modified>
</cp:coreProperties>
</file>