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C0" w:rsidRDefault="000C21C0" w:rsidP="000C21C0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0C21C0" w:rsidRDefault="000C21C0" w:rsidP="000C21C0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от «23» июня 2021 года                                                                                №45-36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2021 ГОД И НА ПЛАНОВЫЙ ПЕРИОД 2022 И 2023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C21C0" w:rsidRDefault="000C21C0" w:rsidP="000C21C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0C21C0" w:rsidRDefault="000C21C0" w:rsidP="000C21C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на плановый период 2022 и 2023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местный бюджет) на 2021 год:</w:t>
      </w:r>
      <w:r>
        <w:rPr>
          <w:rFonts w:ascii="Tahoma" w:hAnsi="Tahoma" w:cs="Tahoma"/>
          <w:color w:val="2C2C2C"/>
          <w:sz w:val="20"/>
          <w:szCs w:val="20"/>
        </w:rPr>
        <w:br/>
        <w:t>- прогнозируемый общий объем доходов местного бюджета в сумме 59 200,1  тыс. рублей, из них объем межбюджетных трансфертов, получаемых из других бюджетов бюджетной системы Российской Федерации, в сумме 28 484,6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- общий объем расходов местного бюджета в сумме 61 467,0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  <w:r>
        <w:rPr>
          <w:rFonts w:ascii="Tahoma" w:hAnsi="Tahoma" w:cs="Tahoma"/>
          <w:color w:val="2C2C2C"/>
          <w:sz w:val="20"/>
          <w:szCs w:val="20"/>
        </w:rPr>
        <w:br/>
        <w:t>2. Приложения 1, 6, 8, 10, 12, 17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25.12.2020 г. № 39-69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0C21C0" w:rsidRDefault="000C21C0" w:rsidP="000C21C0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0C21C0" w:rsidRDefault="000C21C0" w:rsidP="000C21C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   2022 И 2023 ГОДОВ</w:t>
      </w:r>
    </w:p>
    <w:p w:rsidR="000C21C0" w:rsidRDefault="000C21C0" w:rsidP="000C21C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В   доходную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  <w:t>- на основании уведомления Министерства финансов Иркутской области «О предоставлении субсидии, субвенции, иного межбюджетного трансферта, имеющего целевое назначение» от 17.06.2021 года № 8992 выделенные из областного бюджета увеличить код дохода «72620204999100000150» - Прочие межбюджетные трансферты, передаваемые бюджетам сельских поселений на сумму 301,5 тыс. рублей. 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  <w:t>- на основании ожидаемой оценки поступлений налоговых доходов в части земельного налога вид дохода 18210606033100000110 «Земельный налог с организаций, обладающих земельным участком, расположенным в границах сельских поселений» увеличить на 949,3 тыс. рублей. 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  <w:t>Всего доходная часть бюджета на 2021 год увеличивается на    1 250,8 тыс. рублей и составит 59 200,1 тыс. рублей.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  <w:t>В расходную часть бюджета на 2021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  увеличить код бюджетной классификации (далее – КБК) «9110060001»:</w:t>
      </w:r>
      <w:r>
        <w:rPr>
          <w:rFonts w:ascii="Tahoma" w:hAnsi="Tahoma" w:cs="Tahoma"/>
          <w:color w:val="2C2C2C"/>
          <w:sz w:val="20"/>
          <w:szCs w:val="20"/>
        </w:rPr>
        <w:br/>
        <w:t>-  код вида расходов (далее – КВР) 121 «Фонд оплаты труда государственных (муниципальных) органов» увеличить на сумму 241,5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- дополнить КВР 851 «Уплата налога на имущество организаций и земельного налога» в сумме 949,3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- КВР 853 «Уплата иных платежей» увеличить в сумме 60,0 тыс. рублей.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  <w:t>Всего расходная часть бюджета в 2021 году увеличится на 1 250,8 тыс. рублей  и составит   61 467,0  тыс. рублей.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prilozhenija-k-resheniju-dumy-45-36-dsp-ot-23-ijunja-2021-goda.xlsx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prilozhenija-k-resheniju-dumy-45-36-dsp-ot-23-ijunja-2021-goda.xlsx</w:t>
        </w:r>
      </w:hyperlink>
    </w:p>
    <w:p w:rsidR="003E0016" w:rsidRPr="00C346B3" w:rsidRDefault="003E0016" w:rsidP="00C346B3">
      <w:bookmarkStart w:id="0" w:name="_GoBack"/>
      <w:bookmarkEnd w:id="0"/>
    </w:p>
    <w:sectPr w:rsidR="003E0016" w:rsidRPr="00C3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url=http%3A%2F%2Foek.su%2Findex.php%3Fdo%3Ddownload%26id%3D871%26viewonline%3D1" TargetMode="External"/><Relationship Id="rId4" Type="http://schemas.openxmlformats.org/officeDocument/2006/relationships/hyperlink" Target="http://oek.su/index.php?do=download&amp;id=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221</cp:revision>
  <dcterms:created xsi:type="dcterms:W3CDTF">2022-11-02T01:23:00Z</dcterms:created>
  <dcterms:modified xsi:type="dcterms:W3CDTF">2022-11-02T04:47:00Z</dcterms:modified>
</cp:coreProperties>
</file>