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noProof/>
          <w:color w:val="2C2C2C"/>
          <w:sz w:val="20"/>
          <w:szCs w:val="20"/>
          <w:lang w:eastAsia="ru-RU"/>
        </w:rPr>
        <w:drawing>
          <wp:inline distT="0" distB="0" distL="0" distR="0">
            <wp:extent cx="563880" cy="685800"/>
            <wp:effectExtent l="0" t="0" r="7620" b="0"/>
            <wp:docPr id="120" name="Рисунок 120"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oek.su/uploads/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685800"/>
                    </a:xfrm>
                    <a:prstGeom prst="rect">
                      <a:avLst/>
                    </a:prstGeom>
                    <a:noFill/>
                    <a:ln>
                      <a:noFill/>
                    </a:ln>
                  </pic:spPr>
                </pic:pic>
              </a:graphicData>
            </a:graphic>
          </wp:inline>
        </w:drawing>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РОССИЙСКАЯ ФЕДЕРАЦИЯ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ИРКУТСКАЯ ОБЛАСТЬ</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ИРКУТСКИЙ РАЙОН</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АДМИНИСТРАЦИЯ ОЁКСКОГО МУНИЦИПАЛЬНОГО ОБРАЗОВАНИЯ</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ПОСТАНОВЛЕНИЕ</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от  «15» декабря 2014г.                                                                             № 343-п</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Об    утверждении    Положения    об</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охране     труда     в     администрации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В соответствии со статьей 209 Трудового кодекса Российской Федерации, руководствуясь статьями 16, 43 Федерального закона от 6 октября 2003 года № 131-ФЗ "Об общих принципах организации местного самоуправления в Российской Федерации", постановлением Минтруда России от 13.01.2003 года   № 1/29 «Об утверждении Порядка обучения по охране труда и проверке знаний требований охраны труда работников организаций»,  постановлением Минтруда Российской Федерации от 08.02.2000 года № 14 «Об утверждении Рекомендаций  по организации работы службы охраны труда в организации», администрация   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ПОСТАНОВЛЯЕТ:</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1.     Утвердить Положение об охране труда в администрации 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2.     Создать комиссию по охране труда в администрации Оекского муниципального образования и утвердить ее состав.</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3.     Утвердить Положение о комиссии по охране труда в администрации 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4.  Опубликовать настоящее постановление в информационном бюллетене «Вестник Оекского муниципального образования» и на сайте «www.oek.su».</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5.     Контроль за исполнением настоящего постановления оставляю за собой.</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after="96" w:line="240" w:lineRule="auto"/>
        <w:ind w:firstLine="0"/>
        <w:jc w:val="right"/>
        <w:rPr>
          <w:rFonts w:ascii="Tahoma" w:eastAsia="Times New Roman" w:hAnsi="Tahoma" w:cs="Tahoma"/>
          <w:color w:val="2C2C2C"/>
          <w:sz w:val="20"/>
          <w:szCs w:val="20"/>
          <w:lang w:eastAsia="ru-RU"/>
        </w:rPr>
      </w:pPr>
      <w:r w:rsidRPr="000429EC">
        <w:rPr>
          <w:rFonts w:ascii="Tahoma" w:eastAsia="Times New Roman" w:hAnsi="Tahoma" w:cs="Tahoma"/>
          <w:i/>
          <w:iCs/>
          <w:color w:val="2C2C2C"/>
          <w:sz w:val="20"/>
          <w:szCs w:val="20"/>
          <w:lang w:eastAsia="ru-RU"/>
        </w:rPr>
        <w:t> Глава администрации Оекского муниципального образования П.Н.Новосельцев</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Положение об охране труда в администрации</w:t>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Оекского муниципального образования</w:t>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 </w:t>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1. Общие положения</w:t>
      </w:r>
    </w:p>
    <w:p w:rsidR="000429EC" w:rsidRPr="000429EC" w:rsidRDefault="000429EC" w:rsidP="000429EC">
      <w:pPr>
        <w:shd w:val="clear" w:color="auto" w:fill="FFFFFF"/>
        <w:spacing w:after="96" w:line="240" w:lineRule="auto"/>
        <w:ind w:firstLine="567"/>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xml:space="preserve">  1.1. Настоящее Положение об охране труда (далее - Положение) в администрации Оекского муниципального образования (далее - администрация) разработано в соответствии с Трудовым кодексом Российской Федерации, Рекомендациями по организации работы службы охраны труда в организации, утвержденными постановлением </w:t>
      </w:r>
      <w:r w:rsidRPr="000429EC">
        <w:rPr>
          <w:rFonts w:eastAsia="Times New Roman" w:cs="Times New Roman"/>
          <w:color w:val="2C2C2C"/>
          <w:sz w:val="24"/>
          <w:szCs w:val="24"/>
          <w:lang w:eastAsia="ru-RU"/>
        </w:rPr>
        <w:lastRenderedPageBreak/>
        <w:t>Минтруда РФ от 8 февраля 2000 года № 14, Порядком обучения по охране труда и проверке знаний требований охраны труда работников организаций, утвержденным постановлением Минтруда России и Минобразования России от 13 января 2003 года № 1/29,</w:t>
      </w:r>
    </w:p>
    <w:p w:rsidR="000429EC" w:rsidRPr="000429EC" w:rsidRDefault="000429EC" w:rsidP="000429EC">
      <w:pPr>
        <w:shd w:val="clear" w:color="auto" w:fill="FFFFFF"/>
        <w:spacing w:after="96" w:line="240" w:lineRule="auto"/>
        <w:ind w:firstLine="567"/>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1.2. Цель разработки Положения - обеспечение соблюдения требований охраны труда и установление единого порядка регулирования отношений в области охраны труда между работодателем и работниками администрации, направленное на создание условий труда, отвечающих требованиям сохранения жизни и здоровья служащих  в процессе трудовой деятельности.</w:t>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2. Права и обязанности работников</w:t>
      </w:r>
    </w:p>
    <w:p w:rsidR="000429EC" w:rsidRPr="000429EC" w:rsidRDefault="000429EC" w:rsidP="000429EC">
      <w:pPr>
        <w:shd w:val="clear" w:color="auto" w:fill="FFFFFF"/>
        <w:spacing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администрации в области охраны труда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2.1. В соответствии с законодательством Российской Федерации об охране труда каждый работник администрации имеет право на:</w:t>
      </w:r>
    </w:p>
    <w:p w:rsidR="000429EC" w:rsidRPr="000429EC" w:rsidRDefault="000429EC" w:rsidP="000429EC">
      <w:pPr>
        <w:shd w:val="clear" w:color="auto" w:fill="FFFFFF"/>
        <w:spacing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рабочее место, соответствующее требованиям охраны труда, а именно: расположение и организация рабочего места, а также его оборудование должны быть безопасными и не угрожать жизни и здоровью работника администрации;</w:t>
      </w:r>
    </w:p>
    <w:p w:rsidR="000429EC" w:rsidRPr="000429EC" w:rsidRDefault="000429EC" w:rsidP="000429EC">
      <w:pPr>
        <w:shd w:val="clear" w:color="auto" w:fill="FFFFFF"/>
        <w:spacing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2)</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Обязательное социальное страхование от несчастных случаев на производстве и профессиональных заболеваний;</w:t>
      </w:r>
    </w:p>
    <w:p w:rsidR="000429EC" w:rsidRPr="000429EC" w:rsidRDefault="000429EC" w:rsidP="000429EC">
      <w:pPr>
        <w:shd w:val="clear" w:color="auto" w:fill="FFFFFF"/>
        <w:spacing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3)</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получение достоверной информации об условиях и охране труда на рабочем месте, о существующем риске повреждения здоровья;</w:t>
      </w:r>
    </w:p>
    <w:p w:rsidR="000429EC" w:rsidRPr="000429EC" w:rsidRDefault="000429EC" w:rsidP="000429EC">
      <w:pPr>
        <w:shd w:val="clear" w:color="auto" w:fill="FFFFFF"/>
        <w:spacing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4)</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обучение безопасным методам и приемам труда;</w:t>
      </w:r>
    </w:p>
    <w:p w:rsidR="000429EC" w:rsidRPr="000429EC" w:rsidRDefault="000429EC" w:rsidP="000429EC">
      <w:pPr>
        <w:shd w:val="clear" w:color="auto" w:fill="FFFFFF"/>
        <w:spacing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обращение к руководству администрации по вопросам охраны труда;</w:t>
      </w:r>
    </w:p>
    <w:p w:rsidR="000429EC" w:rsidRPr="000429EC" w:rsidRDefault="000429EC" w:rsidP="000429EC">
      <w:pPr>
        <w:shd w:val="clear" w:color="auto" w:fill="FFFFFF"/>
        <w:spacing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6)</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личное участие или участие через своих представителей в рассмотрении вопросов, связанных с обеспечением безопасных условий труда на рабочем месте, и в расследовании происшедшего с ним случая при выполнении трудовых обязанностей.</w:t>
      </w:r>
    </w:p>
    <w:p w:rsidR="000429EC" w:rsidRPr="000429EC" w:rsidRDefault="000429EC" w:rsidP="000429EC">
      <w:pPr>
        <w:shd w:val="clear" w:color="auto" w:fill="FFFFFF"/>
        <w:spacing w:after="96"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2.2. Работник администрации обязан:</w:t>
      </w:r>
    </w:p>
    <w:p w:rsidR="000429EC" w:rsidRPr="000429EC" w:rsidRDefault="000429EC" w:rsidP="000429EC">
      <w:pPr>
        <w:shd w:val="clear" w:color="auto" w:fill="FFFFFF"/>
        <w:spacing w:before="120" w:after="96"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429EC" w:rsidRPr="000429EC" w:rsidRDefault="000429EC" w:rsidP="000429EC">
      <w:pPr>
        <w:shd w:val="clear" w:color="auto" w:fill="FFFFFF"/>
        <w:spacing w:before="120" w:after="96"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2)</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Проходить периодические  медицинские осмотры, обучение безопасным методам и приемам выполнения работ по охране труда, оказанию первой медицинской помощи при несчастных случаях на работе, инструктаж по охране труда, проверку знаний требований охраны труда;</w:t>
      </w:r>
    </w:p>
    <w:p w:rsidR="000429EC" w:rsidRPr="000429EC" w:rsidRDefault="000429EC" w:rsidP="000429EC">
      <w:pPr>
        <w:shd w:val="clear" w:color="auto" w:fill="FFFFFF"/>
        <w:spacing w:before="120" w:after="96"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3)</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в администрации, или об ухудшении состояния своего здоровья.</w:t>
      </w:r>
    </w:p>
    <w:p w:rsidR="000429EC" w:rsidRPr="000429EC" w:rsidRDefault="000429EC" w:rsidP="000429EC">
      <w:pPr>
        <w:shd w:val="clear" w:color="auto" w:fill="FFFFFF"/>
        <w:spacing w:before="120" w:after="96" w:line="240" w:lineRule="auto"/>
        <w:ind w:left="426"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4)</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использовать спецодежду.</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3. Обязанности работодателя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3.1. Работодатель обязан обеспечить:</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безопасность сотрудников при эксплуатации зданий, сооружений, оборудования;</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2)</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соответствующие требованиям охраны труда условия труда на каждом рабочем месте;</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3)</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режим труда и отдыха работников в соответствии с законодательством Российской Федерации, прохождение периодического медицинского осмотра</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4)</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обучение безопасным методам и приемам выполнения работ по охране труда и оказанию первой медицинской помощи при несчастных случаях в администрации, инструктаж и проверку знаний требований охраны труда;</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недопущение к работе лиц, не прошедших в установленном порядке обучение, инструктаж и проверку знаний требований охраны труда;</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lastRenderedPageBreak/>
        <w:t>6)</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предоставление органам государственного управления охраной труда, органам государственного надзора и контроля за соблюдением требований охраны труда информации и документов, необходимых для осуществления ими своих полномочий;</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7)</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медицинской помощи, выдавать спецодежду.</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8)</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расследование и учет в установленном Трудовым кодексом Российской Федерации и иными нормативными правовыми актами порядке несчастных случаев, происшедших с работниками администрации;</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9)</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РФ, а также представителей  органов общественного контроля в целях проведения проверок условий и охраны труда в администрации и расследования несчастных случаев и профессиональных заболеваний;</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10)</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представителями органов общественного контроля в установленные Трудовым кодексом Российской Федерации, иными федеральными законами сроки;</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11)</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обязательное социальное страхование работников администрации от несчастных случаев на производстве и профессиональных заболеваний;</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12)</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наличие комплекта нормативных правовых актов, содержащих требования охраны труда в соответствии со спецификой деятельности администрации;</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13)</w:t>
      </w:r>
      <w:r w:rsidRPr="000429EC">
        <w:rPr>
          <w:rFonts w:eastAsia="Times New Roman" w:cs="Times New Roman"/>
          <w:color w:val="2C2C2C"/>
          <w:sz w:val="14"/>
          <w:szCs w:val="14"/>
          <w:lang w:eastAsia="ru-RU"/>
        </w:rPr>
        <w:t>   </w:t>
      </w:r>
      <w:r w:rsidRPr="000429EC">
        <w:rPr>
          <w:rFonts w:eastAsia="Times New Roman" w:cs="Times New Roman"/>
          <w:color w:val="2C2C2C"/>
          <w:sz w:val="24"/>
          <w:szCs w:val="24"/>
          <w:lang w:eastAsia="ru-RU"/>
        </w:rPr>
        <w:t>    ознакомление работников администрации с требованиями охраны труда.</w:t>
      </w:r>
    </w:p>
    <w:p w:rsidR="000429EC" w:rsidRPr="000429EC" w:rsidRDefault="000429EC" w:rsidP="000429EC">
      <w:pPr>
        <w:shd w:val="clear" w:color="auto" w:fill="FFFFFF"/>
        <w:spacing w:after="96" w:line="240" w:lineRule="auto"/>
        <w:ind w:left="284"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4. Обучение по охране труда</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4.1. Все работники администрации обязаны проходить обучение по охране труда и проверку знаний требований охраны труда в порядке, определенном Правительством Российской Федерации.</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4.2. Лица, поступающие на работу в администрацию, проходят вводный инструктаж. Вводный инструктаж проводит Глава администрации.</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4.3. Кроме вводного инструктажа по охране труда проводится первичный инструктаж на рабочем месте. Первичный инструктаж на рабочем месте проводит работник, на которого возложены обязанности по организации охраны труда.</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4.4. В дальнейшем со всеми работниками администрации проводятся повторные  инструктажи в  установленные сроки.</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4.5. Внеочередные инструктажи проводятся при изменении условий труда, несчастном случае, а также в иных случаях, установленных законодательством.</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4.6. Проведение всех видов инструктажей регистрируется в соответствующих журналах проведения инструктажей.</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4.7. Глава администрации и ответственный за организацию охраны труда проходят специальное обучение по охране труда.</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w:t>
      </w:r>
    </w:p>
    <w:p w:rsidR="000429EC" w:rsidRPr="000429EC" w:rsidRDefault="000429EC" w:rsidP="000429EC">
      <w:pPr>
        <w:shd w:val="clear" w:color="auto" w:fill="FFFFFF"/>
        <w:spacing w:line="240" w:lineRule="auto"/>
        <w:ind w:left="284"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5. Организация работ по охране труда,</w:t>
      </w:r>
    </w:p>
    <w:p w:rsidR="000429EC" w:rsidRPr="000429EC" w:rsidRDefault="000429EC" w:rsidP="000429EC">
      <w:pPr>
        <w:shd w:val="clear" w:color="auto" w:fill="FFFFFF"/>
        <w:spacing w:line="240" w:lineRule="auto"/>
        <w:ind w:left="284"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контроль за их выполнением и ответственность</w:t>
      </w:r>
    </w:p>
    <w:p w:rsidR="000429EC" w:rsidRPr="000429EC" w:rsidRDefault="000429EC" w:rsidP="000429EC">
      <w:pPr>
        <w:shd w:val="clear" w:color="auto" w:fill="FFFFFF"/>
        <w:spacing w:line="240" w:lineRule="auto"/>
        <w:ind w:left="284"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за нарушение требований охраны труда</w:t>
      </w:r>
    </w:p>
    <w:p w:rsidR="000429EC" w:rsidRPr="000429EC" w:rsidRDefault="000429EC" w:rsidP="000429EC">
      <w:pPr>
        <w:shd w:val="clear" w:color="auto" w:fill="FFFFFF"/>
        <w:spacing w:line="240" w:lineRule="auto"/>
        <w:ind w:left="284"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 </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lastRenderedPageBreak/>
        <w:t>       5.1. Управление охраной труда в администрации, контроль за выполнением мероприятий и соблюдением работниками администрации соответствующих требований по охране труда осуществляется главой администрации.</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5.2. Распоряжением  главы администрации  обязанность по организации охраны труда возлагается на работника администрации, который после соответствующего обучения и проверки знаний наряду с основной работой выполняет обязанности специалиста по охране труда. В трудовой договор и должностную инструкцию этого работника вносятся соответствующие изменения и дополнения.</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5.3. Ответственность за нарушение требований настоящего Положения, действующих норм охраны труда и техники безопасности в администрации несут должностные лица и работники, допустившие нарушения.</w:t>
      </w:r>
    </w:p>
    <w:p w:rsidR="000429EC" w:rsidRPr="000429EC" w:rsidRDefault="000429EC" w:rsidP="000429EC">
      <w:pPr>
        <w:shd w:val="clear" w:color="auto" w:fill="FFFFFF"/>
        <w:spacing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5.4. Лица, виновные в нарушении требований по охране труда, привлекаются к дисциплинарной, а в соответствующих случаях - к материальной, административной и уголовной ответственности в порядке, установленном законодательством Российской Федерации.</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Состав</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комиссии по охране труда в администрации</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 Председатель комиссии – Новосельцев Петр Николаевич– глава администрации 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2. Заместитель председателя комиссии – Парфенов Олег Анатольевич – зам.главы администрации 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3. Секретарь комиссии – Верхозина Ольга Александровна – заместитель  начальника общего начальника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Члены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4. Верхозина  Рима Давыдовна - консультант  по ГО и ЧС администрации 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 Степанова  Людмила Александровна - начальник  финансово-экономического отдела.</w:t>
      </w:r>
    </w:p>
    <w:p w:rsidR="000429EC" w:rsidRPr="000429EC" w:rsidRDefault="000429EC" w:rsidP="000429EC">
      <w:pPr>
        <w:shd w:val="clear" w:color="auto" w:fill="FFFFFF"/>
        <w:spacing w:after="96" w:line="240" w:lineRule="auto"/>
        <w:ind w:left="284"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ascii="Tahoma" w:eastAsia="Times New Roman" w:hAnsi="Tahoma" w:cs="Tahoma"/>
          <w:color w:val="2C2C2C"/>
          <w:sz w:val="20"/>
          <w:szCs w:val="20"/>
          <w:lang w:eastAsia="ru-RU"/>
        </w:rPr>
        <w:t> </w:t>
      </w:r>
      <w:r w:rsidRPr="000429EC">
        <w:rPr>
          <w:rFonts w:eastAsia="Times New Roman" w:cs="Times New Roman"/>
          <w:b/>
          <w:bCs/>
          <w:color w:val="2C2C2C"/>
          <w:sz w:val="24"/>
          <w:szCs w:val="24"/>
          <w:lang w:eastAsia="ru-RU"/>
        </w:rPr>
        <w:t>ПОЛОЖЕНИЕ</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о комиссии по охране труда в администрации</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Оекского муниципального образования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1. Общие положения</w:t>
      </w:r>
    </w:p>
    <w:p w:rsidR="000429EC" w:rsidRPr="000429EC" w:rsidRDefault="000429EC" w:rsidP="000429EC">
      <w:pPr>
        <w:shd w:val="clear" w:color="auto" w:fill="FFFFFF"/>
        <w:spacing w:after="96" w:line="240" w:lineRule="auto"/>
        <w:ind w:firstLine="708"/>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Положение о комиссии по охране труда (далее - Положение) разработано в соответствии со статьей 218 Трудового кодекса Российской Федерации. Комиссия по охране труда (далее – Комиссия) создается,  для организации совместных действий Главы администрации сельского поселения, работников администрации, (далее – работников)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Положение предусматривает:</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-основные задачи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-функции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lastRenderedPageBreak/>
        <w:t>-права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-организация работы Комиссии.</w:t>
      </w:r>
    </w:p>
    <w:p w:rsidR="000429EC" w:rsidRPr="000429EC" w:rsidRDefault="000429EC" w:rsidP="000429EC">
      <w:pPr>
        <w:shd w:val="clear" w:color="auto" w:fill="FFFFFF"/>
        <w:spacing w:after="96" w:line="240" w:lineRule="auto"/>
        <w:ind w:firstLine="708"/>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Комиссия по охране труда является составной частью системы управления охраной труда в сельском поселении, а также одной из форм участия работников в управлении вопросами в области охраны труда. Ее работа строится на принципах социального партнерства.</w:t>
      </w:r>
    </w:p>
    <w:p w:rsidR="000429EC" w:rsidRPr="000429EC" w:rsidRDefault="000429EC" w:rsidP="000429EC">
      <w:pPr>
        <w:shd w:val="clear" w:color="auto" w:fill="FFFFFF"/>
        <w:spacing w:after="96" w:line="240" w:lineRule="auto"/>
        <w:ind w:firstLine="708"/>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w:t>
      </w:r>
    </w:p>
    <w:p w:rsidR="000429EC" w:rsidRPr="000429EC" w:rsidRDefault="000429EC" w:rsidP="000429EC">
      <w:pPr>
        <w:shd w:val="clear" w:color="auto" w:fill="FFFFFF"/>
        <w:spacing w:after="96" w:line="240" w:lineRule="auto"/>
        <w:ind w:firstLine="708"/>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Комиссия в своей деятельности руководствуется законами и иными нормативными правовыми актами Российской Федерации и Правительства Ивановской области об охране труда.</w:t>
      </w:r>
    </w:p>
    <w:p w:rsidR="000429EC" w:rsidRPr="000429EC" w:rsidRDefault="000429EC" w:rsidP="000429EC">
      <w:pPr>
        <w:shd w:val="clear" w:color="auto" w:fill="FFFFFF"/>
        <w:spacing w:after="96" w:line="240" w:lineRule="auto"/>
        <w:ind w:firstLine="708"/>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Положение о комиссии утверждается постановлением администрации Оекского муниципального образования.</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2. Задачи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Задачами Комиссии являются: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разработка на основе предложений членов Комиссии программы совместных действий:  администрации, работников по обеспечению требований охраны труда, предупреждению производственного травматизма, профессиональных заболеваний;</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организация проведения проверок состояния условий и охраны труда на рабочих местах;</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подготовка соответствующих предложений Главе администрации Оекского  муниципального образования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3. Функции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Функциями Комиссии являются: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рассмотрение предложений Главы администрации Оекского  муниципального образования, работников для выработки рекомендаций, направленных на улучшение условий и охраны труда работников;</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оказание содействия Главе администрации Оекского  муниципального  в организации обучения работников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участие в проведении обследований состояния условий и охраны труда в организации, рассмотрении их результатов и выработке рекомендаций Главе администрации Оекского муниципального  образования по устранению выявленных нарушений;</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доведение до сведения работников, результатов специальной оценки  по условиям труда и сертификации работ по охране труда;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xml:space="preserve">5)  участие в рассмотрении вопросов финансирования мероприятий по охране труда в администрации, обязательного социального страхования от несчастных случаев на производстве и профессиональных заболеваний, а также осуществление контроля расходования средств администрации и Фонда социального страхования Российской </w:t>
      </w:r>
      <w:r w:rsidRPr="000429EC">
        <w:rPr>
          <w:rFonts w:eastAsia="Times New Roman" w:cs="Times New Roman"/>
          <w:color w:val="2C2C2C"/>
          <w:sz w:val="24"/>
          <w:szCs w:val="24"/>
          <w:lang w:eastAsia="ru-RU"/>
        </w:rPr>
        <w:lastRenderedPageBreak/>
        <w:t>Федерации (страховщика), направляемых на предупредительные меры по сокращению производственного травматизма и профессиональных заболеваний;</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6) подготовка и представление Главе администрации Оекского муниципального  образования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 </w:t>
      </w:r>
    </w:p>
    <w:p w:rsidR="000429EC" w:rsidRPr="000429EC" w:rsidRDefault="000429EC" w:rsidP="000429EC">
      <w:pPr>
        <w:shd w:val="clear" w:color="auto" w:fill="FFFFFF"/>
        <w:spacing w:after="96" w:line="240" w:lineRule="auto"/>
        <w:ind w:firstLine="0"/>
        <w:jc w:val="center"/>
        <w:rPr>
          <w:rFonts w:ascii="Tahoma" w:eastAsia="Times New Roman" w:hAnsi="Tahoma" w:cs="Tahoma"/>
          <w:color w:val="2C2C2C"/>
          <w:sz w:val="20"/>
          <w:szCs w:val="20"/>
          <w:lang w:eastAsia="ru-RU"/>
        </w:rPr>
      </w:pPr>
      <w:r w:rsidRPr="000429EC">
        <w:rPr>
          <w:rFonts w:eastAsia="Times New Roman" w:cs="Times New Roman"/>
          <w:b/>
          <w:bCs/>
          <w:color w:val="2C2C2C"/>
          <w:sz w:val="24"/>
          <w:szCs w:val="24"/>
          <w:lang w:eastAsia="ru-RU"/>
        </w:rPr>
        <w:t>4. Права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4.1. Для осуществления возложенных функций Комиссии предоставляются следующие права: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1) получать от Главы администрации  Оекского муниципального  образования информацию о состоянии условий труда на рабочих местах, производственного  травматизма и профессиональных заболеваний;</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2) заслушивать на заседаниях Комиссии сообщения Главы администрации  Оекского муниципального образования (его представителей), руководителей структурных подразделений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3) заслушивать на заседаниях Комиссии руководителей и других работников администрации, допустивших нарушения требований охраны труда, повлекших за собой тяжелые последствия и вносить Главе  администрации  Оекского муниципального образования предложения о привлечении их к ответственности в соответствии с законодательством Российской Федерации;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4) вносить Главе администрации  Оекского муниципального образования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0"/>
          <w:szCs w:val="20"/>
          <w:lang w:eastAsia="ru-RU"/>
        </w:rPr>
        <w:t> </w:t>
      </w:r>
    </w:p>
    <w:p w:rsidR="000429EC" w:rsidRPr="000429EC" w:rsidRDefault="000429EC" w:rsidP="000429EC">
      <w:pPr>
        <w:shd w:val="clear" w:color="auto" w:fill="FFFFFF"/>
        <w:spacing w:before="5" w:after="200" w:line="240" w:lineRule="auto"/>
        <w:ind w:left="53" w:right="5" w:firstLine="398"/>
        <w:jc w:val="center"/>
        <w:rPr>
          <w:rFonts w:ascii="Tahoma" w:eastAsia="Times New Roman" w:hAnsi="Tahoma" w:cs="Tahoma"/>
          <w:color w:val="2C2C2C"/>
          <w:sz w:val="20"/>
          <w:szCs w:val="20"/>
          <w:lang w:eastAsia="ru-RU"/>
        </w:rPr>
      </w:pPr>
      <w:r w:rsidRPr="000429EC">
        <w:rPr>
          <w:rFonts w:ascii="Tahoma" w:eastAsia="Times New Roman" w:hAnsi="Tahoma" w:cs="Tahoma"/>
          <w:b/>
          <w:bCs/>
          <w:color w:val="2C2C2C"/>
          <w:sz w:val="20"/>
          <w:szCs w:val="20"/>
          <w:lang w:eastAsia="ru-RU"/>
        </w:rPr>
        <w:t>5. Организация работы комиссии</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5.2.  Численность Комиссии определяется в зависимости от численности работников в администрации,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5.3.  Выдвижение в Комиссию представителей работников  администрации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распоряжением работодателя.</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 xml:space="preserve">5.4.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w:t>
      </w:r>
      <w:r w:rsidRPr="000429EC">
        <w:rPr>
          <w:rFonts w:eastAsia="Times New Roman" w:cs="Times New Roman"/>
          <w:color w:val="2C2C2C"/>
          <w:sz w:val="24"/>
          <w:szCs w:val="24"/>
          <w:lang w:eastAsia="ru-RU"/>
        </w:rPr>
        <w:lastRenderedPageBreak/>
        <w:t>(страховщика)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5.5. Члены комиссии выполняют свои обязанности на общественных началах без освобождения  от основной работы.</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5.6.  Заседания Комиссии проводятся по мере необходимости, но не реже одного раза в квартал.</w:t>
      </w:r>
    </w:p>
    <w:p w:rsidR="000429EC" w:rsidRPr="000429EC" w:rsidRDefault="000429EC" w:rsidP="000429EC">
      <w:pPr>
        <w:shd w:val="clear" w:color="auto" w:fill="FFFFFF"/>
        <w:spacing w:after="96" w:line="240" w:lineRule="auto"/>
        <w:ind w:firstLine="0"/>
        <w:rPr>
          <w:rFonts w:ascii="Tahoma" w:eastAsia="Times New Roman" w:hAnsi="Tahoma" w:cs="Tahoma"/>
          <w:color w:val="2C2C2C"/>
          <w:sz w:val="20"/>
          <w:szCs w:val="20"/>
          <w:lang w:eastAsia="ru-RU"/>
        </w:rPr>
      </w:pPr>
      <w:r w:rsidRPr="000429EC">
        <w:rPr>
          <w:rFonts w:eastAsia="Times New Roman" w:cs="Times New Roman"/>
          <w:color w:val="2C2C2C"/>
          <w:sz w:val="24"/>
          <w:szCs w:val="24"/>
          <w:lang w:eastAsia="ru-RU"/>
        </w:rPr>
        <w:t>5.7. 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3E0016" w:rsidRPr="00984A36" w:rsidRDefault="003E0016" w:rsidP="00984A36">
      <w:bookmarkStart w:id="0" w:name="_GoBack"/>
      <w:bookmarkEnd w:id="0"/>
    </w:p>
    <w:sectPr w:rsidR="003E0016" w:rsidRPr="00984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102F8A"/>
    <w:rsid w:val="00105A22"/>
    <w:rsid w:val="00153E41"/>
    <w:rsid w:val="00154E1F"/>
    <w:rsid w:val="00157955"/>
    <w:rsid w:val="00167D1F"/>
    <w:rsid w:val="0017573D"/>
    <w:rsid w:val="00180A91"/>
    <w:rsid w:val="001C443B"/>
    <w:rsid w:val="001D2750"/>
    <w:rsid w:val="00201FCA"/>
    <w:rsid w:val="00203B13"/>
    <w:rsid w:val="00206A0C"/>
    <w:rsid w:val="002B0F79"/>
    <w:rsid w:val="002B50C3"/>
    <w:rsid w:val="0030027E"/>
    <w:rsid w:val="00334AD7"/>
    <w:rsid w:val="00383AE7"/>
    <w:rsid w:val="00393C9C"/>
    <w:rsid w:val="003A582F"/>
    <w:rsid w:val="003A6E5A"/>
    <w:rsid w:val="003C4BD9"/>
    <w:rsid w:val="003D70C0"/>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91794"/>
    <w:rsid w:val="006E2FC9"/>
    <w:rsid w:val="006E42D6"/>
    <w:rsid w:val="006E7845"/>
    <w:rsid w:val="0075011F"/>
    <w:rsid w:val="00772450"/>
    <w:rsid w:val="00774364"/>
    <w:rsid w:val="00783DBD"/>
    <w:rsid w:val="007A6527"/>
    <w:rsid w:val="00804216"/>
    <w:rsid w:val="008607EE"/>
    <w:rsid w:val="008A140B"/>
    <w:rsid w:val="008B0336"/>
    <w:rsid w:val="008C606E"/>
    <w:rsid w:val="008D5C76"/>
    <w:rsid w:val="008E0B18"/>
    <w:rsid w:val="008E2BA1"/>
    <w:rsid w:val="008E4C04"/>
    <w:rsid w:val="00922766"/>
    <w:rsid w:val="00941144"/>
    <w:rsid w:val="00984A36"/>
    <w:rsid w:val="009862D5"/>
    <w:rsid w:val="009C1715"/>
    <w:rsid w:val="009E3CDB"/>
    <w:rsid w:val="009E5DA3"/>
    <w:rsid w:val="00A26BD3"/>
    <w:rsid w:val="00A724BB"/>
    <w:rsid w:val="00AC75C3"/>
    <w:rsid w:val="00AD198E"/>
    <w:rsid w:val="00AD22C9"/>
    <w:rsid w:val="00AF73E4"/>
    <w:rsid w:val="00B0156B"/>
    <w:rsid w:val="00B06547"/>
    <w:rsid w:val="00B41E9F"/>
    <w:rsid w:val="00B46EB2"/>
    <w:rsid w:val="00B56102"/>
    <w:rsid w:val="00B93F60"/>
    <w:rsid w:val="00BF1F5F"/>
    <w:rsid w:val="00C12285"/>
    <w:rsid w:val="00C45FC1"/>
    <w:rsid w:val="00C46428"/>
    <w:rsid w:val="00C81131"/>
    <w:rsid w:val="00C92ED8"/>
    <w:rsid w:val="00CB3ECD"/>
    <w:rsid w:val="00CC42C3"/>
    <w:rsid w:val="00D95E93"/>
    <w:rsid w:val="00DB3641"/>
    <w:rsid w:val="00E132FD"/>
    <w:rsid w:val="00E630BA"/>
    <w:rsid w:val="00EC5D8F"/>
    <w:rsid w:val="00ED0170"/>
    <w:rsid w:val="00F060E5"/>
    <w:rsid w:val="00F1396C"/>
    <w:rsid w:val="00F44770"/>
    <w:rsid w:val="00F5492E"/>
    <w:rsid w:val="00F67D53"/>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2532</Words>
  <Characters>14437</Characters>
  <Application>Microsoft Office Word</Application>
  <DocSecurity>0</DocSecurity>
  <Lines>120</Lines>
  <Paragraphs>33</Paragraphs>
  <ScaleCrop>false</ScaleCrop>
  <Company>diakov.net</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106</cp:revision>
  <dcterms:created xsi:type="dcterms:W3CDTF">2022-10-24T01:26:00Z</dcterms:created>
  <dcterms:modified xsi:type="dcterms:W3CDTF">2022-10-24T04:42:00Z</dcterms:modified>
</cp:coreProperties>
</file>