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585EC7" w:rsidRPr="00585EC7" w:rsidRDefault="00585EC7" w:rsidP="00585EC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декабря 2020 года                                                                                              №39-70 Д/сп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ДУМЫ«О БЮДЖЕТЕ ОЕКСКОГО МУНИЦИПАЛЬНОГО ОБРАЗОВАНИЯ НА 2020 ГОД И НА ПЛАНОВЫЙ ПЕРИОД 2021 И 2022 ГОДОВ»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5EC7" w:rsidRPr="00585EC7" w:rsidRDefault="00585EC7" w:rsidP="00585EC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Руководствуясь  ст. 49, ст. 63, ст. 65 Устава Оекского муниципального образования, Дума Оекского муниципального образования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585EC7" w:rsidRPr="00585EC7" w:rsidRDefault="00585EC7" w:rsidP="00585EC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Внести в решение Думы Оекского муниципального образования от 20.12.2019 г. № 28-67 Д/сп «О бюджете Оекского муниципального образования на 2020 год и на плановый период 2021 и 2022 годов» следующие изменения и дополнения: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1 решения изложить в следующей редакции: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«1. Утвердить основные характеристики бюджета Оекского муниципального образования (далее местный бюджет) на 2020 год: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прогнозируемый общий объем доходов местного бюджета в сумме 59 073,3 тыс. рублей, из них объем межбюджетных трансфертов, получаемых из других бюджетов бюджетной системы Российской Федерации, в сумме 30 441,7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общий объем расходов местного бюджета в сумме 64 495,4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размер дефицита местного бюджета в сумме 5 422,1 тыс.рублей, или 18,9%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Приложения 1, 6, 8,10,12 изложить в новой редакции (прилагаются).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решения Думы Оекского муниципального образования от 20.12.2019 г. № 28-67 Д/сп информацию о внесении изменений и дополнений.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www.oek.su.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 О.А.Парфенов</w:t>
      </w:r>
    </w:p>
    <w:p w:rsidR="00585EC7" w:rsidRPr="00585EC7" w:rsidRDefault="00585EC7" w:rsidP="00585EC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2020 ГОД И НА ПЛАНОВЫЙ ПЕРИОД   2021 И 2022 ГОДОВ</w:t>
      </w: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85EC7" w:rsidRPr="00585EC7" w:rsidRDefault="00585EC7" w:rsidP="00585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 доходную часть бюджета на 2020 внесены следующие изменения: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На основании уточненного прогноза поступления доходов от уплаты акцизов на нефтепродукты на 2020-2022 годов Управления Федерального казначейства ИО от 30.10.2020 внесены следующие изменения в налоги на товары (работы, услуги), реализуемые на территории РФ: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код 10010302231010000110 уменьшить на 102,4 тыс.рублей;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код 10010302241010000110 увеличить на 1,0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код 10010302251010000110 уменьшить на 155,8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код 10010302261010000110 уменьшить на 40,3 тыс. рублей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 С учетом фактических поступлений в бюджет Оекского муниципального образования на 01.12.2020 увеличить плановые значения на 2020 год по следующим видам дохода: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- 18210503010010000110 «Единый сельскохозяйственный налог» увеличить на 6,9 тыс. рублей;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- 18210601030100000110 «Налог на имущество физических лиц, взимаемый по ставкам, применяемым к объектам налогообложения, расположенным в границах сельских  поселений» увеличить на 195,9 тыс. рублей;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- 18210606033100000110 «Земельный налог с организаций, обладающих земельным участком, расположенным в границах сельских поселений» увеличить на сумму 855,0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- 72610804020010000110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уменьшить на 50,7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- 72611301995100000130 «Прочие доходы от оказания платных услуг (работ) получателями средств бюджетов сельских поселений» уменьшить на 388,6 тыс. рублей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72611602020020000140 «Административные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актов» уменьшить на 10,0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- 72611607010100000140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 увеличить на сумму 15,8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На основании письма  АИРМО от 18.12.2020 № 710 «О межбюджетных трансфертах на 2020 год» увеличить безвозмездные поступления по следующим кодам: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- 72620216001100000150 «Дотации бюджетам сельских поселений на выравнивание бюджетной обеспеченности из бюджетов муниципальных районов» на сумму 649,3   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- 72620249999100000150 «Прочие межбюджетные трансферты, передаваемые бюджетам сельских поселений» на сумму 336,5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Всего доходная часть бюджета на 2020 год увеличивается на 1 312,6 тыс. рублей и составит 59 073,3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расходную часть бюджета на 2020 год внесены следующие изменения: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1. Раздел «Общегосударственные расходы»: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1.1.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0102 «Функционирование высшего должностного лица субъекта Российской Федерации и муниципального образования»: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код бюджетной классификации (далее – КБК) «9110060001»  по коду вида расходов (далее – КВР)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уменьшить на 95,9 тыс. руб.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1.2. 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по КВР 853 «Уплата иных платежей» уменьшить на 1,0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1.3.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«9110060001» по КВР 121 «Фонд оплаты труда государственных (муниципальных) органов» увеличить на 1 917,5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«9110060001»  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387,5 тыс. руб.;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«9110060001» по КВР 244 «Прочая закупка товаров, работ и услуг» уменьшить на 511,7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«9110060001» по КВР 360 «Иные выплаты населению» увеличить на 4,0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«9110060001» по КВР 831 «Исполнение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учреждений» увеличить на 2,0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«9110060001» по КВР 851 «Уплата налога на имущество организаций и земельного налога» уменьшить на 0,1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   КБК «9110060001» по КВР 852 «Уплата прочих налогов, сборов» уменьшить на 14,3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«9110060001» по КВР 853 «Уплата иных платежей» уменьшить на 5,5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1.4.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0111 «Резервные фонды»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«9110060004» по КВР 870 «Резервные средства» уменьшить на 150,0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1.5.  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0113 «Другие общегосударственные вопросы»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«9110060002» по КВР 111 «Фонд оплаты труда учреждений» увеличить на 608,0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«9110060002» по КВР 119 «Взносы по обязательному социальному страхованию на выплаты по оплате труда работников и иные выплаты работникам учреждений» уменьшить на 2,2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«9110060002» по КВР 244 «Прочая закупка товаров, работ и услуг» уменьшить на 374,7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«9110060008» по КВР 244 «Прочая закупка товаров, работ и услуг» уменьшить на 0,03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3. Раздел «Национальная оборона»: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3.1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подраздел 0203 «Мобилизационная и вневойсковая подготовка»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«9130051180» по КВР 121 «Фонд оплаты труда государственных (муниципальных) органов» уменьшить на 5,7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«9130051180»  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2,6 тыс. руб.;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«9130051180»  по КВР 244 «Прочая закупка товаров, работ и услуг» увеличить на 3,1 тыс. руб.;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</w:t>
      </w:r>
      <w:r w:rsidRPr="00585EC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Раздел 0300 «Национальная безопасность и правохранительная деятельность»: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4.1. 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0310 «Обеспечение пожарной безопасности» внесены следующие изменения: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связи с внесением изменений в муниципальную программу «Пожарная безопасность и защита населения и территории Оекского муниципального образования от чрезвычайных ситуаций" на 2019-2023 годы», расходы на 2020 год скорректированы с уменьшением на 400,0 тыс. рублей по КБК «2140099015»  по КВР 244 «Прочая закупка товаров, работ и услуг».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5. Раздел «Национальная экономика»: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5.1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подраздел 0409 «Дорожное хозяйство (дорожные фонды)»: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основании уточненного прогноза поступления доходов о уплаты акцизов на нефтепродукты на 2020-2022 годов Управления Федерального казначейства ИО от 30.10.2020 внесены следующие изменения в налоги на товары (работы, услуги), реализуемые на территории РФ КБК «2010099020» по КВР 244 «Прочая закупка товаров, работ и услуг» уменьшить на 297,5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5.2. 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0412 «Другие вопросы в области национальной экономики»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непрограммные расходы КБК «9110060011» по КВР 244 «Прочая закупка товаров, работ и услуг»  уменьшены на 34,0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6. Раздел «Жилищно-коммунальное хозяйство»: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6.1. 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0503 «Благоустройство»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внесены изменения на 2020 год в муниципальную программу «Уличное освещение Оекского муниципального образования на 2020-2022 годы» в КБК «2270099030» по КВР 244 «Прочая закупка товаров, работ и услуг»  уменьшены на 305,0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«9110060022» по КВР 244 «Прочая закупка товаров, работ и услуг» уменьшить на 55,0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«9110060105» по КВР 244 «Прочая закупка товаров, работ и услуг» уменьшить на 474,0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7. Раздел «Культура, кинематография»: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7.1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.подраздел 0801 «Культура»: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«9110060002» по КВР 111 «Фонд оплаты труда казенных учреждений» увеличить на 1 410,3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«9110060002» по КВР 112 «Иные выплаты персоналу учреждений, за исключением фонда оплаты труда» уменьшить на 0,8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уменьшить на 149,6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«9110060002» по КВР 243 «Закупка товаров, работ, услуг в целях капитального ремонта государственного (муниципального) имущества» уменьшить на 3,5 тыс. рублей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«9110060002» по КВР 244 «Прочая закупка товаров, работ и услуг» уменьшить на 228,6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«9110060002» по КВР 852 «Уплата прочих налогов, сборов» уменьшить на 1,2 тыс. рублей;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  КБК «9110060002» по КВР 853 «Уплата иных платежей» уменьшить на 2,5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lastRenderedPageBreak/>
        <w:t>8. Раздел «Социальная политика»: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3.1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.подраздел 1001 «Пенсионное обеспечение»: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КБК «9110060018» по КВР 312 «Иные пенсии, социальные доплаты к пенсиям» увеличить на 102,6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9. Раздел 1300 «Обслуживание государственного и муниципального долга»: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5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9.1. 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1301 «Обслуживание государственного внутреннего и муниципального долга»: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- в связи с отсутствием необходимости в получении бюджетного кредита по КБК «9110060019» по КВР 730 «Обслуживание муниципального долга» уменьшить на сумму 10,5 тыс. рублей.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85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Всего расходная часть бюджета в 2020 году увеличивается на 1 312,6 тыс. рублей   и составит  64 495,4 тыс. рублей.</w:t>
      </w:r>
    </w:p>
    <w:p w:rsidR="003E0016" w:rsidRPr="00EC5692" w:rsidRDefault="003E0016" w:rsidP="00EC5692">
      <w:bookmarkStart w:id="0" w:name="_GoBack"/>
      <w:bookmarkEnd w:id="0"/>
    </w:p>
    <w:sectPr w:rsidR="003E0016" w:rsidRPr="00EC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215</cp:revision>
  <dcterms:created xsi:type="dcterms:W3CDTF">2022-11-02T01:23:00Z</dcterms:created>
  <dcterms:modified xsi:type="dcterms:W3CDTF">2022-11-02T04:44:00Z</dcterms:modified>
</cp:coreProperties>
</file>